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E5161">
      <w:pPr>
        <w:pStyle w:val="14"/>
      </w:pPr>
      <w:r>
        <w:t>报告名称：循环</w:t>
      </w:r>
      <w:r>
        <w:rPr>
          <w:rFonts w:hint="eastAsia"/>
          <w:lang w:val="en-US" w:eastAsia="zh-CN"/>
        </w:rPr>
        <w:t>神经</w:t>
      </w:r>
      <w:r>
        <w:t>网络在时序预测数据集上的应用实验报告</w:t>
      </w:r>
    </w:p>
    <w:p w14:paraId="5DD47C68">
      <w:pPr>
        <w:pStyle w:val="11"/>
      </w:pPr>
      <w:r>
        <w:rPr>
          <w:rStyle w:val="18"/>
        </w:rPr>
        <w:t>摘要：</w:t>
      </w:r>
      <w:r>
        <w:t>本报告针对电力消耗预测、日常气候时间序列、Yahoo股票价格预测三类时序数据集，采用循环门控网络（含Vanilla RNN、LSTM、GRU）开展多变量时间序列预测实验，完成了数据集预处理、循环门控模型构建与训练、超参数调优及性能评估等工作。通过对比不同循环门控模型在三类数据集上的预测性能，分析模型对时序数据的捕捉能力，结果显示LSTM在长序列依赖建模中表现更优，GRU在训练效率上更具优势，同时验证了循环门控网络在时序预测任务中的有效性。</w:t>
      </w:r>
    </w:p>
    <w:p w14:paraId="6ADB8B01">
      <w:pPr>
        <w:pStyle w:val="2"/>
        <w:numPr>
          <w:ilvl w:val="0"/>
          <w:numId w:val="1"/>
        </w:numPr>
        <w:topLinePunct w:val="0"/>
        <w:ind w:left="0" w:leftChars="0" w:firstLine="0" w:firstLineChars="0"/>
        <w:rPr>
          <w:rFonts w:hint="eastAsia" w:ascii="黑体" w:hAnsi="黑体" w:eastAsia="黑体" w:cs="黑体"/>
          <w:b w:val="0"/>
        </w:rPr>
      </w:pPr>
      <w:r>
        <w:t>引言：</w:t>
      </w:r>
    </w:p>
    <w:p w14:paraId="3B1739CB">
      <w:pPr>
        <w:pStyle w:val="11"/>
      </w:pPr>
      <w:r>
        <w:t>时间序列预测是机器学习领域的关键任务，在能源调度、气象预报、金融分析等诸多场景中应用广泛。开展相关实验有助于深入理解门控循环网络对时间序列数据的建模原理与实践流程。当前，解决时间序列预测问题的主流方法包括ARIMA等传统统计模型、循环神经网络（RNN）及其变体（如LSTM、GRU），以及Transformer等。然而，传统模型难以有效捕捉长序列依赖关系；普通RNN存在梯度消失或爆炸问题；门控循环网络虽能缓解上述问题，但其性能对超参数配置与序列窗口大小较为敏感。针对这一现状，本文选取LSTM与GRU两种门控循环模型，在三个不同领域的时间序列数据集上进行实验，通过划分训练集、验证集和测试集，系统评估模型性能并对结果展开分析。</w:t>
      </w:r>
    </w:p>
    <w:p w14:paraId="4057EBBC">
      <w:pPr>
        <w:pStyle w:val="2"/>
        <w:numPr>
          <w:ilvl w:val="0"/>
          <w:numId w:val="1"/>
        </w:numPr>
        <w:topLinePunct w:val="0"/>
        <w:ind w:left="0" w:leftChars="0" w:firstLine="0" w:firstLineChars="0"/>
        <w:rPr>
          <w:rFonts w:hint="eastAsia" w:ascii="黑体" w:hAnsi="黑体" w:eastAsia="黑体" w:cs="黑体"/>
          <w:b w:val="0"/>
        </w:rPr>
      </w:pPr>
      <w:r>
        <w:t>实验模型原理介绍：</w:t>
      </w:r>
    </w:p>
    <w:p w14:paraId="67DC9557">
      <w:pPr>
        <w:pStyle w:val="11"/>
      </w:pPr>
      <w:r>
        <w:t>- Vanilla RNN：将当前时刻输入与上一时刻隐藏状态进行线性组合（涉及权重矩阵</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ih</m:t>
            </m:r>
            <m:ctrlPr>
              <w:rPr>
                <w:rFonts w:ascii="Cambria Math" w:hAnsi="Cambria Math"/>
                <w:sz w:val="24"/>
              </w:rPr>
            </m:ctrlPr>
          </m:sub>
        </m:sSub>
      </m:oMath>
      <w:r>
        <w:t>、</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hh</m:t>
            </m:r>
            <m:ctrlPr>
              <w:rPr>
                <w:rFonts w:ascii="Cambria Math" w:hAnsi="Cambria Math"/>
                <w:sz w:val="24"/>
              </w:rPr>
            </m:ctrlPr>
          </m:sub>
        </m:sSub>
      </m:oMath>
      <w:r>
        <w:t>及偏置向量</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ih</m:t>
            </m:r>
            <m:ctrlPr>
              <w:rPr>
                <w:rFonts w:ascii="Cambria Math" w:hAnsi="Cambria Math"/>
                <w:sz w:val="24"/>
              </w:rPr>
            </m:ctrlPr>
          </m:sub>
        </m:sSub>
      </m:oMath>
      <w:r>
        <w:t>、</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hh</m:t>
            </m:r>
            <m:ctrlPr>
              <w:rPr>
                <w:rFonts w:ascii="Cambria Math" w:hAnsi="Cambria Math"/>
                <w:sz w:val="24"/>
              </w:rPr>
            </m:ctrlPr>
          </m:sub>
        </m:sSub>
      </m:oMath>
      <w:r>
        <w:t>），再经tanh激活函数生成当前时刻隐藏状态</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=tanh(</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ih</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hh</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ih</m:t>
            </m:r>
            <m:ctrlPr>
              <w:rPr>
                <w:rFonts w:ascii="Cambria Math" w:hAnsi="Cambria Math"/>
                <w:sz w:val="24"/>
              </w:rPr>
            </m:ctrlPr>
          </m:sub>
        </m:sSub>
        <m:r>
          <m:rPr/>
          <w:rPr>
            <w:rFonts w:hint="default" w:ascii="Cambria Math" w:hAnsi="Cambria Math"/>
            <w:sz w:val="24"/>
          </w:rPr>
          <m:t>)</m:t>
        </m:r>
      </m:oMath>
      <w:r>
        <m:rPr/>
        <w:rPr>
          <w:rFonts w:hint="eastAsia" w:hAnsi="Cambria Math"/>
          <w:i w:val="0"/>
          <w:sz w:val="24"/>
          <w:lang w:eastAsia="zh-CN"/>
        </w:rPr>
        <w:t>。</w:t>
      </w:r>
      <w:r>
        <w:t>该结构缺乏门控机制，依赖隐藏状态循环传递捕捉序列信息，但易受梯度消失或爆炸问题影响，难以有效建模长序列依赖关系。</w:t>
      </w:r>
      <w:bookmarkStart w:id="0" w:name="_GoBack"/>
      <w:bookmarkEnd w:id="0"/>
    </w:p>
    <w:p w14:paraId="19712035">
      <w:pPr>
        <w:pStyle w:val="11"/>
        <w:spacing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853180" cy="2927985"/>
            <wp:effectExtent l="0" t="0" r="2540" b="13335"/>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4"/>
                    <a:stretch>
                      <a:fillRect/>
                    </a:stretch>
                  </pic:blipFill>
                  <pic:spPr>
                    <a:xfrm>
                      <a:off x="0" y="0"/>
                      <a:ext cx="3853180" cy="2927985"/>
                    </a:xfrm>
                    <a:prstGeom prst="rect">
                      <a:avLst/>
                    </a:prstGeom>
                    <a:noFill/>
                    <a:ln w="9525">
                      <a:noFill/>
                    </a:ln>
                  </pic:spPr>
                </pic:pic>
              </a:graphicData>
            </a:graphic>
          </wp:inline>
        </w:drawing>
      </w:r>
    </w:p>
    <w:p w14:paraId="7A9A8990">
      <w:pPr>
        <w:pStyle w:val="11"/>
      </w:pPr>
      <w:r>
        <w:t>- 长短期记忆网络（LSTM）：作为循环神经网络（RNN）的变体，通过引入输入门、遗忘门和输出门机制调控信息流动，有效缓解了标准RNN的梯度消失问题，具备捕捉长序列依赖关系的能力。其核心结构包含细胞状态（Cell State）及三个门控单元，细胞状态负责承载长期记忆信息，门控单元则调节信息向细胞状态的添加或移除。</w:t>
      </w:r>
    </w:p>
    <w:p w14:paraId="4D927D2C">
      <w:pPr>
        <w:pStyle w:val="11"/>
        <w:spacing w:after="100"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38320" cy="2870835"/>
            <wp:effectExtent l="0" t="0" r="5080" b="9525"/>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5"/>
                    <a:stretch>
                      <a:fillRect/>
                    </a:stretch>
                  </pic:blipFill>
                  <pic:spPr>
                    <a:xfrm>
                      <a:off x="0" y="0"/>
                      <a:ext cx="4338320" cy="2870835"/>
                    </a:xfrm>
                    <a:prstGeom prst="rect">
                      <a:avLst/>
                    </a:prstGeom>
                    <a:noFill/>
                    <a:ln w="9525">
                      <a:noFill/>
                    </a:ln>
                  </pic:spPr>
                </pic:pic>
              </a:graphicData>
            </a:graphic>
          </wp:inline>
        </w:drawing>
      </w:r>
    </w:p>
    <w:p w14:paraId="493C29C7">
      <w:pPr>
        <w:pStyle w:val="11"/>
      </w:pPr>
      <w:r>
        <w:t>- 门控循环单元（GRU）：作为LSTM的简化架构，将输入门与遗忘门合并为单一的更新门，同时移除细胞状态，仅保留重置门与更新门。该设计在维持与LSTM相近性能的前提下，显著降低了模型的计算复杂度。</w:t>
      </w:r>
    </w:p>
    <w:p w14:paraId="0CE49B16">
      <w:pPr>
        <w:widowControl w:val="0"/>
        <w:numPr>
          <w:ilvl w:val="0"/>
          <w:numId w:val="0"/>
        </w:numPr>
        <w:topLinePunct w:val="0"/>
        <w:adjustRightInd w:val="0"/>
        <w:spacing w:before="320" w:line="240" w:lineRule="auto"/>
        <w:ind w:left="480" w:leftChars="0"/>
        <w:jc w:val="center"/>
        <w:outlineLvl w:val="9"/>
        <w:rPr>
          <w:rFonts w:hint="eastAsia" w:ascii="宋体" w:hAnsi="宋体" w:eastAsia="宋体" w:cs="宋体"/>
          <w:b w:val="0"/>
          <w:color w:val="000000"/>
          <w:kern w:val="44"/>
          <w:sz w:val="24"/>
          <w:szCs w:val="24"/>
          <w:lang w:bidi="ar-SA"/>
        </w:rPr>
      </w:pPr>
      <w:r>
        <w:rPr>
          <w:rFonts w:ascii="宋体" w:hAnsi="宋体" w:eastAsia="宋体" w:cs="宋体"/>
          <w:color w:val="000000"/>
          <w:kern w:val="44"/>
          <w:sz w:val="24"/>
          <w:szCs w:val="24"/>
          <w:lang w:bidi="ar-SA"/>
        </w:rPr>
        <w:drawing>
          <wp:inline distT="0" distB="0" distL="114300" distR="114300">
            <wp:extent cx="3962400" cy="2712085"/>
            <wp:effectExtent l="0" t="0" r="0" b="635"/>
            <wp:docPr id="1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6"/>
                    <pic:cNvPicPr>
                      <a:picLocks noChangeAspect="1"/>
                    </pic:cNvPicPr>
                  </pic:nvPicPr>
                  <pic:blipFill>
                    <a:blip r:embed="rId6"/>
                    <a:stretch>
                      <a:fillRect/>
                    </a:stretch>
                  </pic:blipFill>
                  <pic:spPr>
                    <a:xfrm>
                      <a:off x="0" y="0"/>
                      <a:ext cx="3962400" cy="2712085"/>
                    </a:xfrm>
                    <a:prstGeom prst="rect">
                      <a:avLst/>
                    </a:prstGeom>
                    <a:noFill/>
                    <a:ln w="9525">
                      <a:noFill/>
                    </a:ln>
                  </pic:spPr>
                </pic:pic>
              </a:graphicData>
            </a:graphic>
          </wp:inline>
        </w:drawing>
      </w:r>
    </w:p>
    <w:p w14:paraId="54CAD82B">
      <w:pPr>
        <w:pStyle w:val="2"/>
        <w:numPr>
          <w:ilvl w:val="0"/>
          <w:numId w:val="1"/>
        </w:numPr>
        <w:topLinePunct w:val="0"/>
        <w:ind w:left="0" w:leftChars="0" w:firstLine="0" w:firstLineChars="0"/>
        <w:rPr>
          <w:rFonts w:hint="eastAsia" w:ascii="黑体" w:hAnsi="黑体" w:eastAsia="黑体" w:cs="黑体"/>
          <w:b w:val="0"/>
        </w:rPr>
      </w:pPr>
      <w:r>
        <w:t>实验设计：</w:t>
      </w:r>
    </w:p>
    <w:p w14:paraId="7EA6183D">
      <w:pPr>
        <w:pStyle w:val="11"/>
      </w:pPr>
      <w:r>
        <w:t>- 数据集：本次实验采用三个时序数据集，具体如下：</w:t>
      </w:r>
    </w:p>
    <w:p w14:paraId="56652C56">
      <w:pPr>
        <w:pStyle w:val="11"/>
        <w:numPr>
          <w:ilvl w:val="0"/>
          <w:numId w:val="2"/>
        </w:numPr>
        <w:ind w:left="0" w:leftChars="0" w:firstLine="480" w:firstLineChars="0"/>
        <w:rPr>
          <w:b w:val="0"/>
        </w:rPr>
      </w:pPr>
      <w:r>
        <w:t>电力消耗预测数据集：包含时间戳、温度、湿度、风速、太阳辐射相关流量及三个区域的电力消耗数值；</w:t>
      </w:r>
    </w:p>
    <w:p w14:paraId="15263220">
      <w:pPr>
        <w:pStyle w:val="11"/>
        <w:numPr>
          <w:ilvl w:val="0"/>
          <w:numId w:val="2"/>
        </w:numPr>
        <w:ind w:left="0" w:leftChars="0" w:firstLine="480" w:firstLineChars="0"/>
        <w:rPr>
          <w:b w:val="0"/>
        </w:rPr>
      </w:pPr>
      <w:r>
        <w:t>日常气候时间序列数据集：包含日期、平均气温、湿度、风速、平均气压；</w:t>
      </w:r>
    </w:p>
    <w:p w14:paraId="3E564365">
      <w:pPr>
        <w:pStyle w:val="11"/>
        <w:numPr>
          <w:ilvl w:val="0"/>
          <w:numId w:val="2"/>
        </w:numPr>
        <w:ind w:left="0" w:leftChars="0" w:firstLine="480" w:firstLineChars="0"/>
        <w:rPr>
          <w:b w:val="0"/>
        </w:rPr>
      </w:pPr>
      <w:r>
        <w:t>Yahoo股票价格数据集：包含交易日期、最高成交价、最低成交价、开盘价、收盘价、成交量、调整后收盘价。</w:t>
      </w:r>
    </w:p>
    <w:p w14:paraId="1C20904B">
      <w:pPr>
        <w:pStyle w:val="11"/>
      </w:pPr>
      <w:r>
        <w:t>- 数据集划分：采用按时间顺序划分方式，训练集占比80%，验证集占比20%，确保验证集数据在时间上晚于训练集。</w:t>
      </w:r>
    </w:p>
    <w:p w14:paraId="2D80CF68">
      <w:pPr>
        <w:pStyle w:val="11"/>
      </w:pPr>
      <w:r>
        <w:t>- 特征预处理：基于元数据驱动的标准化流程，自动执行以下步骤：时间特征提取（年、月、日、小时、周几、季节、时间段等）、分类特征One-Hot编码；按时间分组聚合（小时或天级别，指定列采用均值、求和或首值聚合方式）；训练集与测试集划分（按时间顺序拆分）；标准化处理（使用MinMaxScaler对训练集聚合列进行缩放，且仅在训练集上拟合）；清理冗余列（移除原始时间分解列）。所有步骤自动执行，确保数据从原始CSV格式到模型输入的标准化、可复现处理。</w:t>
      </w:r>
    </w:p>
    <w:p w14:paraId="1AF99A47">
      <w:pPr>
        <w:pStyle w:val="11"/>
      </w:pPr>
      <w:r>
        <w:t>- 模型评价指标：</w:t>
      </w:r>
    </w:p>
    <w:p w14:paraId="547A2824">
      <w:pPr>
        <w:pStyle w:val="19"/>
      </w:pPr>
      <w:r>
        <w:t>误差度量指标表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80"/>
        <w:gridCol w:w="831"/>
        <w:gridCol w:w="5835"/>
      </w:tblGrid>
      <w:tr w14:paraId="3773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7CC5920">
            <w:pPr>
              <w:jc w:val="center"/>
              <w:rPr>
                <w:rFonts w:hint="eastAsia" w:ascii="宋体" w:hAnsi="宋体" w:eastAsia="宋体" w:cs="宋体"/>
                <w:b/>
              </w:rPr>
            </w:pPr>
            <w:r>
              <w:rPr>
                <w:rFonts w:hint="eastAsia" w:ascii="宋体" w:hAnsi="宋体" w:eastAsia="宋体" w:cs="宋体"/>
                <w:b/>
              </w:rPr>
              <w:t>指标名称</w:t>
            </w:r>
          </w:p>
        </w:tc>
        <w:tc>
          <w:tcPr>
            <w:tcW w:w="48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FF8474E">
            <w:pPr>
              <w:jc w:val="center"/>
              <w:rPr>
                <w:rFonts w:hint="eastAsia" w:ascii="宋体" w:hAnsi="宋体" w:eastAsia="宋体" w:cs="宋体"/>
                <w:b/>
              </w:rPr>
            </w:pPr>
            <w:r>
              <w:rPr>
                <w:rFonts w:hint="eastAsia" w:ascii="宋体" w:hAnsi="宋体" w:eastAsia="宋体" w:cs="宋体"/>
                <w:b/>
              </w:rPr>
              <w:t>缩写</w:t>
            </w:r>
          </w:p>
        </w:tc>
        <w:tc>
          <w:tcPr>
            <w:tcW w:w="341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A8F35B1">
            <w:pPr>
              <w:jc w:val="center"/>
              <w:rPr>
                <w:rFonts w:hint="eastAsia" w:ascii="宋体" w:hAnsi="宋体" w:eastAsia="宋体" w:cs="宋体"/>
                <w:b/>
              </w:rPr>
            </w:pPr>
            <w:r>
              <w:rPr>
                <w:rFonts w:hint="eastAsia" w:ascii="宋体" w:hAnsi="宋体" w:eastAsia="宋体" w:cs="宋体"/>
                <w:b/>
              </w:rPr>
              <w:t>定义</w:t>
            </w:r>
          </w:p>
        </w:tc>
      </w:tr>
      <w:tr w14:paraId="3339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C084025">
            <w:pPr>
              <w:jc w:val="left"/>
              <w:rPr>
                <w:rFonts w:hint="eastAsia" w:ascii="宋体" w:hAnsi="宋体" w:eastAsia="宋体" w:cs="宋体"/>
              </w:rPr>
            </w:pPr>
            <w:r>
              <w:rPr>
                <w:rFonts w:hint="eastAsia" w:ascii="宋体" w:hAnsi="宋体" w:eastAsia="宋体" w:cs="宋体"/>
              </w:rPr>
              <w:t>平均绝对误差</w:t>
            </w:r>
          </w:p>
        </w:tc>
        <w:tc>
          <w:tcPr>
            <w:tcW w:w="48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AF499DF">
            <w:pPr>
              <w:jc w:val="left"/>
              <w:rPr>
                <w:rFonts w:hint="eastAsia" w:ascii="宋体" w:hAnsi="宋体" w:eastAsia="宋体" w:cs="宋体"/>
              </w:rPr>
            </w:pPr>
            <w:r>
              <w:rPr>
                <w:rFonts w:hint="eastAsia" w:ascii="宋体" w:hAnsi="宋体" w:eastAsia="宋体" w:cs="宋体"/>
              </w:rPr>
              <w:t>MAE</w:t>
            </w:r>
          </w:p>
        </w:tc>
        <w:tc>
          <w:tcPr>
            <w:tcW w:w="341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8F3F1B2">
            <w:pPr>
              <w:jc w:val="left"/>
              <w:rPr>
                <w:rFonts w:hint="eastAsia" w:ascii="宋体" w:hAnsi="宋体" w:eastAsia="宋体" w:cs="宋体"/>
              </w:rPr>
            </w:pPr>
            <w:r>
              <w:rPr>
                <w:rFonts w:hint="eastAsia" w:ascii="宋体" w:hAnsi="宋体" w:eastAsia="宋体" w:cs="宋体"/>
              </w:rPr>
              <w:t>预测值与真实值绝对差的平均值</w:t>
            </w:r>
          </w:p>
        </w:tc>
      </w:tr>
      <w:tr w14:paraId="2C3D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8E5E17F">
            <w:pPr>
              <w:jc w:val="left"/>
              <w:rPr>
                <w:rFonts w:hint="eastAsia" w:ascii="宋体" w:hAnsi="宋体" w:eastAsia="宋体" w:cs="宋体"/>
              </w:rPr>
            </w:pPr>
            <w:r>
              <w:rPr>
                <w:rFonts w:hint="eastAsia" w:ascii="宋体" w:hAnsi="宋体" w:eastAsia="宋体" w:cs="宋体"/>
              </w:rPr>
              <w:t>均方误差</w:t>
            </w:r>
          </w:p>
        </w:tc>
        <w:tc>
          <w:tcPr>
            <w:tcW w:w="48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997ACAC">
            <w:pPr>
              <w:jc w:val="left"/>
              <w:rPr>
                <w:rFonts w:hint="eastAsia" w:ascii="宋体" w:hAnsi="宋体" w:eastAsia="宋体" w:cs="宋体"/>
              </w:rPr>
            </w:pPr>
            <w:r>
              <w:rPr>
                <w:rFonts w:hint="eastAsia" w:ascii="宋体" w:hAnsi="宋体" w:eastAsia="宋体" w:cs="宋体"/>
              </w:rPr>
              <w:t>MSE</w:t>
            </w:r>
          </w:p>
        </w:tc>
        <w:tc>
          <w:tcPr>
            <w:tcW w:w="341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BFA23FA">
            <w:pPr>
              <w:jc w:val="left"/>
              <w:rPr>
                <w:rFonts w:hint="eastAsia" w:ascii="宋体" w:hAnsi="宋体" w:eastAsia="宋体" w:cs="宋体"/>
              </w:rPr>
            </w:pPr>
            <w:r>
              <w:rPr>
                <w:rFonts w:hint="eastAsia" w:ascii="宋体" w:hAnsi="宋体" w:eastAsia="宋体" w:cs="宋体"/>
              </w:rPr>
              <w:t>预测值与真实值平方差的平均值</w:t>
            </w:r>
          </w:p>
        </w:tc>
      </w:tr>
      <w:tr w14:paraId="7481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63B8CCA">
            <w:pPr>
              <w:jc w:val="left"/>
              <w:rPr>
                <w:rFonts w:hint="eastAsia" w:ascii="宋体" w:hAnsi="宋体" w:eastAsia="宋体" w:cs="宋体"/>
              </w:rPr>
            </w:pPr>
            <w:r>
              <w:rPr>
                <w:rFonts w:hint="eastAsia" w:ascii="宋体" w:hAnsi="宋体" w:eastAsia="宋体" w:cs="宋体"/>
              </w:rPr>
              <w:t>均方根误差</w:t>
            </w:r>
          </w:p>
        </w:tc>
        <w:tc>
          <w:tcPr>
            <w:tcW w:w="48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F028442">
            <w:pPr>
              <w:jc w:val="left"/>
              <w:rPr>
                <w:rFonts w:hint="eastAsia" w:ascii="宋体" w:hAnsi="宋体" w:eastAsia="宋体" w:cs="宋体"/>
              </w:rPr>
            </w:pPr>
            <w:r>
              <w:rPr>
                <w:rFonts w:hint="eastAsia" w:ascii="宋体" w:hAnsi="宋体" w:eastAsia="宋体" w:cs="宋体"/>
              </w:rPr>
              <w:t>RMSE</w:t>
            </w:r>
          </w:p>
        </w:tc>
        <w:tc>
          <w:tcPr>
            <w:tcW w:w="341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27F2FA8">
            <w:pPr>
              <w:jc w:val="left"/>
              <w:rPr>
                <w:rFonts w:hint="eastAsia" w:ascii="宋体" w:hAnsi="宋体" w:eastAsia="宋体" w:cs="宋体"/>
              </w:rPr>
            </w:pPr>
            <w:r>
              <w:rPr>
                <w:rFonts w:hint="eastAsia" w:ascii="宋体" w:hAnsi="宋体" w:eastAsia="宋体" w:cs="宋体"/>
              </w:rPr>
              <w:t>MSE的平方根</w:t>
            </w:r>
          </w:p>
        </w:tc>
      </w:tr>
      <w:tr w14:paraId="45E8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2F817F5">
            <w:pPr>
              <w:jc w:val="left"/>
              <w:rPr>
                <w:rFonts w:hint="eastAsia" w:ascii="宋体" w:hAnsi="宋体" w:eastAsia="宋体" w:cs="宋体"/>
              </w:rPr>
            </w:pPr>
            <w:r>
              <w:rPr>
                <w:rFonts w:hint="eastAsia" w:ascii="宋体" w:hAnsi="宋体" w:eastAsia="宋体" w:cs="宋体"/>
              </w:rPr>
              <w:t>决定系数</w:t>
            </w:r>
          </w:p>
        </w:tc>
        <w:tc>
          <w:tcPr>
            <w:tcW w:w="48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AE05594">
            <w:pPr>
              <w:jc w:val="left"/>
              <w:rPr>
                <w:rFonts w:hint="eastAsia" w:ascii="宋体" w:hAnsi="宋体" w:eastAsia="宋体" w:cs="宋体"/>
              </w:rPr>
            </w:pPr>
            <w:r>
              <w:rPr>
                <w:rFonts w:hint="eastAsia" w:ascii="宋体" w:hAnsi="宋体" w:eastAsia="宋体" w:cs="宋体"/>
              </w:rPr>
              <w:t>R²</w:t>
            </w:r>
          </w:p>
        </w:tc>
        <w:tc>
          <w:tcPr>
            <w:tcW w:w="341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130C9CA">
            <w:pPr>
              <w:jc w:val="left"/>
              <w:rPr>
                <w:rFonts w:hint="eastAsia" w:ascii="宋体" w:hAnsi="宋体" w:eastAsia="宋体" w:cs="宋体"/>
              </w:rPr>
            </w:pPr>
            <w:r>
              <w:rPr>
                <w:rFonts w:hint="eastAsia" w:ascii="宋体" w:hAnsi="宋体" w:eastAsia="宋体" w:cs="宋体"/>
              </w:rPr>
              <w:t>衡量模型对数据变异的解释程度，越接近1越好</w:t>
            </w:r>
          </w:p>
        </w:tc>
      </w:tr>
    </w:tbl>
    <w:p w14:paraId="074720AC">
      <w:pPr>
        <w:pStyle w:val="11"/>
      </w:pPr>
      <w:r>
        <w:t>- 实验超参参数设置：</w:t>
      </w:r>
    </w:p>
    <w:p w14:paraId="61E368C6">
      <w:pPr>
        <w:pStyle w:val="19"/>
      </w:pPr>
      <w:r>
        <w:t>模型训练参数配置表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89"/>
        <w:gridCol w:w="3889"/>
        <w:gridCol w:w="2168"/>
      </w:tblGrid>
      <w:tr w14:paraId="632C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4CB47E5">
            <w:pPr>
              <w:jc w:val="center"/>
              <w:rPr>
                <w:rFonts w:hint="default" w:ascii="Calibri" w:hAnsi="Calibri" w:cs="Calibri"/>
                <w:b/>
              </w:rPr>
            </w:pPr>
            <w:r>
              <w:rPr>
                <w:rFonts w:hint="default" w:ascii="Calibri" w:hAnsi="Calibri" w:cs="Calibri"/>
                <w:b/>
              </w:rPr>
              <w:t>参数类别</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3596E03">
            <w:pPr>
              <w:jc w:val="center"/>
              <w:rPr>
                <w:rFonts w:hint="default" w:ascii="Calibri" w:hAnsi="Calibri" w:cs="Calibri"/>
                <w:b/>
              </w:rPr>
            </w:pPr>
            <w:r>
              <w:rPr>
                <w:rFonts w:hint="default" w:ascii="Calibri" w:hAnsi="Calibri" w:cs="Calibri"/>
                <w:b/>
              </w:rPr>
              <w:t>参数名称</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1A64B00">
            <w:pPr>
              <w:jc w:val="center"/>
              <w:rPr>
                <w:rFonts w:hint="default" w:ascii="Calibri" w:hAnsi="Calibri" w:cs="Calibri"/>
                <w:b/>
              </w:rPr>
            </w:pPr>
            <w:r>
              <w:rPr>
                <w:rFonts w:hint="default" w:ascii="Calibri" w:hAnsi="Calibri" w:cs="Calibri"/>
                <w:b/>
              </w:rPr>
              <w:t>参数值</w:t>
            </w:r>
          </w:p>
        </w:tc>
      </w:tr>
      <w:tr w14:paraId="323A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restar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4A5281E">
            <w:pPr>
              <w:jc w:val="left"/>
              <w:rPr>
                <w:rFonts w:hint="default" w:ascii="Calibri" w:hAnsi="Calibri" w:cs="Calibri"/>
              </w:rPr>
            </w:pPr>
            <w:r>
              <w:rPr>
                <w:rFonts w:hint="default" w:ascii="Calibri" w:hAnsi="Calibri" w:cs="Calibri"/>
              </w:rPr>
              <w:t>训练基本参数</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6B9C1F1">
            <w:pPr>
              <w:jc w:val="left"/>
              <w:rPr>
                <w:rFonts w:hint="default" w:ascii="Calibri" w:hAnsi="Calibri" w:cs="Calibri"/>
              </w:rPr>
            </w:pPr>
            <w:r>
              <w:rPr>
                <w:rFonts w:hint="default" w:ascii="Calibri" w:hAnsi="Calibri" w:cs="Calibri"/>
              </w:rPr>
              <w:t>epochs</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B6B2EEB">
            <w:pPr>
              <w:jc w:val="left"/>
              <w:rPr>
                <w:rFonts w:hint="default" w:ascii="Calibri" w:hAnsi="Calibri" w:cs="Calibri"/>
              </w:rPr>
            </w:pPr>
            <w:r>
              <w:rPr>
                <w:rFonts w:hint="default" w:ascii="Calibri" w:hAnsi="Calibri" w:cs="Calibri"/>
              </w:rPr>
              <w:t>300</w:t>
            </w:r>
          </w:p>
        </w:tc>
      </w:tr>
      <w:tr w14:paraId="14FCC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2053D75">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EC0D3B2">
            <w:pPr>
              <w:jc w:val="left"/>
              <w:rPr>
                <w:rFonts w:hint="default" w:ascii="Calibri" w:hAnsi="Calibri" w:cs="Calibri"/>
              </w:rPr>
            </w:pPr>
            <w:r>
              <w:rPr>
                <w:rFonts w:hint="default" w:ascii="Calibri" w:hAnsi="Calibri" w:cs="Calibri"/>
              </w:rPr>
              <w:t>batch_size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DCF71C7">
            <w:pPr>
              <w:jc w:val="left"/>
              <w:rPr>
                <w:rFonts w:hint="default" w:ascii="Calibri" w:hAnsi="Calibri" w:cs="Calibri"/>
              </w:rPr>
            </w:pPr>
            <w:r>
              <w:rPr>
                <w:rFonts w:hint="default" w:ascii="Calibri" w:hAnsi="Calibri" w:cs="Calibri"/>
              </w:rPr>
              <w:t>16</w:t>
            </w:r>
          </w:p>
        </w:tc>
      </w:tr>
      <w:tr w14:paraId="2400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90E36E0">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2B35E3A">
            <w:pPr>
              <w:jc w:val="left"/>
              <w:rPr>
                <w:rFonts w:hint="default" w:ascii="Calibri" w:hAnsi="Calibri" w:cs="Calibri"/>
              </w:rPr>
            </w:pPr>
            <w:r>
              <w:rPr>
                <w:rFonts w:hint="default" w:ascii="Calibri" w:hAnsi="Calibri" w:cs="Calibri"/>
              </w:rPr>
              <w:t>learning_rate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3361A04">
            <w:pPr>
              <w:jc w:val="left"/>
              <w:rPr>
                <w:rFonts w:hint="default" w:ascii="Calibri" w:hAnsi="Calibri" w:cs="Calibri"/>
              </w:rPr>
            </w:pPr>
            <w:r>
              <w:rPr>
                <w:rFonts w:hint="default" w:ascii="Calibri" w:hAnsi="Calibri" w:cs="Calibri"/>
              </w:rPr>
              <w:t>0.001</w:t>
            </w:r>
          </w:p>
        </w:tc>
      </w:tr>
      <w:tr w14:paraId="7427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A42B497">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028848B">
            <w:pPr>
              <w:jc w:val="left"/>
              <w:rPr>
                <w:rFonts w:hint="default" w:ascii="Calibri" w:hAnsi="Calibri" w:cs="Calibri"/>
              </w:rPr>
            </w:pPr>
            <w:r>
              <w:rPr>
                <w:rFonts w:hint="default" w:ascii="Calibri" w:hAnsi="Calibri" w:cs="Calibri"/>
              </w:rPr>
              <w:t>optimizer</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11B1F28">
            <w:pPr>
              <w:jc w:val="left"/>
              <w:rPr>
                <w:rFonts w:hint="default" w:ascii="Calibri" w:hAnsi="Calibri" w:cs="Calibri"/>
              </w:rPr>
            </w:pPr>
            <w:r>
              <w:rPr>
                <w:rFonts w:hint="default" w:ascii="Calibri" w:hAnsi="Calibri" w:cs="Calibri"/>
              </w:rPr>
              <w:t>Adam</w:t>
            </w:r>
          </w:p>
        </w:tc>
      </w:tr>
      <w:tr w14:paraId="3D1D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D21DFD8">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3172568">
            <w:pPr>
              <w:jc w:val="left"/>
              <w:rPr>
                <w:rFonts w:hint="default" w:ascii="Calibri" w:hAnsi="Calibri" w:cs="Calibri"/>
              </w:rPr>
            </w:pPr>
            <w:r>
              <w:rPr>
                <w:rFonts w:hint="default" w:ascii="Calibri" w:hAnsi="Calibri" w:cs="Calibri"/>
              </w:rPr>
              <w:t>loss</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5D71CE6">
            <w:pPr>
              <w:jc w:val="left"/>
              <w:rPr>
                <w:rFonts w:hint="default" w:ascii="Calibri" w:hAnsi="Calibri" w:cs="Calibri"/>
              </w:rPr>
            </w:pPr>
            <w:r>
              <w:rPr>
                <w:rFonts w:hint="default" w:ascii="Calibri" w:hAnsi="Calibri" w:cs="Calibri"/>
              </w:rPr>
              <w:t>MSE</w:t>
            </w:r>
          </w:p>
        </w:tc>
      </w:tr>
      <w:tr w14:paraId="6E45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restar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3672044">
            <w:pPr>
              <w:jc w:val="left"/>
              <w:rPr>
                <w:rFonts w:hint="default" w:ascii="Calibri" w:hAnsi="Calibri" w:cs="Calibri"/>
              </w:rPr>
            </w:pPr>
            <w:r>
              <w:rPr>
                <w:rFonts w:hint="default" w:ascii="Calibri" w:hAnsi="Calibri" w:cs="Calibri"/>
              </w:rPr>
              <w:t>模型结构参数</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BD5307E">
            <w:pPr>
              <w:jc w:val="left"/>
              <w:rPr>
                <w:rFonts w:hint="default" w:ascii="Calibri" w:hAnsi="Calibri" w:cs="Calibri"/>
              </w:rPr>
            </w:pPr>
            <w:r>
              <w:rPr>
                <w:rFonts w:hint="default" w:ascii="Calibri" w:hAnsi="Calibri" w:cs="Calibri"/>
              </w:rPr>
              <w:t>input_size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913FF7D">
            <w:pPr>
              <w:jc w:val="left"/>
              <w:rPr>
                <w:rFonts w:hint="default" w:ascii="Calibri" w:hAnsi="Calibri" w:cs="Calibri"/>
              </w:rPr>
            </w:pPr>
            <w:r>
              <w:rPr>
                <w:rFonts w:hint="default" w:ascii="Calibri" w:hAnsi="Calibri" w:cs="Calibri"/>
              </w:rPr>
              <w:t>自动推断</w:t>
            </w:r>
          </w:p>
        </w:tc>
      </w:tr>
      <w:tr w14:paraId="7403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FB373C0">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205D18">
            <w:pPr>
              <w:jc w:val="left"/>
              <w:rPr>
                <w:rFonts w:hint="default" w:ascii="Calibri" w:hAnsi="Calibri" w:cs="Calibri"/>
              </w:rPr>
            </w:pPr>
            <w:r>
              <w:rPr>
                <w:rFonts w:hint="default" w:ascii="Calibri" w:hAnsi="Calibri" w:cs="Calibri"/>
              </w:rPr>
              <w:t>hidden_size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D941268">
            <w:pPr>
              <w:jc w:val="left"/>
              <w:rPr>
                <w:rFonts w:hint="default" w:ascii="Calibri" w:hAnsi="Calibri" w:cs="Calibri"/>
              </w:rPr>
            </w:pPr>
            <w:r>
              <w:rPr>
                <w:rFonts w:hint="default" w:ascii="Calibri" w:hAnsi="Calibri" w:cs="Calibri"/>
              </w:rPr>
              <w:t>64</w:t>
            </w:r>
          </w:p>
        </w:tc>
      </w:tr>
      <w:tr w14:paraId="0B6D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BDAD55D">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A85D548">
            <w:pPr>
              <w:jc w:val="left"/>
              <w:rPr>
                <w:rFonts w:hint="default" w:ascii="Calibri" w:hAnsi="Calibri" w:cs="Calibri"/>
              </w:rPr>
            </w:pPr>
            <w:r>
              <w:rPr>
                <w:rFonts w:hint="default" w:ascii="Calibri" w:hAnsi="Calibri" w:cs="Calibri"/>
              </w:rPr>
              <w:t>num_layers</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8465FE9">
            <w:pPr>
              <w:jc w:val="left"/>
              <w:rPr>
                <w:rFonts w:hint="default" w:ascii="Calibri" w:hAnsi="Calibri" w:cs="Calibri"/>
              </w:rPr>
            </w:pPr>
            <w:r>
              <w:rPr>
                <w:rFonts w:hint="default" w:ascii="Calibri" w:hAnsi="Calibri" w:cs="Calibri"/>
              </w:rPr>
              <w:t>4</w:t>
            </w:r>
          </w:p>
        </w:tc>
      </w:tr>
      <w:tr w14:paraId="2FE5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572E576">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743184F">
            <w:pPr>
              <w:jc w:val="left"/>
              <w:rPr>
                <w:rFonts w:hint="default" w:ascii="Calibri" w:hAnsi="Calibri" w:cs="Calibri"/>
              </w:rPr>
            </w:pPr>
            <w:r>
              <w:rPr>
                <w:rFonts w:hint="default" w:ascii="Calibri" w:hAnsi="Calibri" w:cs="Calibri"/>
              </w:rPr>
              <w:t>output_size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3247012">
            <w:pPr>
              <w:jc w:val="left"/>
              <w:rPr>
                <w:rFonts w:hint="default" w:ascii="Calibri" w:hAnsi="Calibri" w:cs="Calibri"/>
              </w:rPr>
            </w:pPr>
            <w:r>
              <w:rPr>
                <w:rFonts w:hint="default" w:ascii="Calibri" w:hAnsi="Calibri" w:cs="Calibri"/>
              </w:rPr>
              <w:t>4</w:t>
            </w:r>
          </w:p>
        </w:tc>
      </w:tr>
      <w:tr w14:paraId="306C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DC1613A">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FB1EAFC">
            <w:pPr>
              <w:jc w:val="left"/>
              <w:rPr>
                <w:rFonts w:hint="default" w:ascii="Calibri" w:hAnsi="Calibri" w:cs="Calibri"/>
              </w:rPr>
            </w:pPr>
            <w:r>
              <w:rPr>
                <w:rFonts w:hint="default" w:ascii="Calibri" w:hAnsi="Calibri" w:cs="Calibri"/>
              </w:rPr>
              <w:t>dropout</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5D52595">
            <w:pPr>
              <w:jc w:val="left"/>
              <w:rPr>
                <w:rFonts w:hint="default" w:ascii="Calibri" w:hAnsi="Calibri" w:cs="Calibri"/>
              </w:rPr>
            </w:pPr>
            <w:r>
              <w:rPr>
                <w:rFonts w:hint="default" w:ascii="Calibri" w:hAnsi="Calibri" w:cs="Calibri"/>
              </w:rPr>
              <w:t>0.3</w:t>
            </w:r>
          </w:p>
        </w:tc>
      </w:tr>
      <w:tr w14:paraId="7B9D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A1FAE85">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7E17755">
            <w:pPr>
              <w:jc w:val="left"/>
              <w:rPr>
                <w:rFonts w:hint="default" w:ascii="Calibri" w:hAnsi="Calibri" w:cs="Calibri"/>
              </w:rPr>
            </w:pPr>
            <w:r>
              <w:rPr>
                <w:rFonts w:hint="default" w:ascii="Calibri" w:hAnsi="Calibri" w:cs="Calibri"/>
              </w:rPr>
              <w:t>n_heads</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0324092">
            <w:pPr>
              <w:jc w:val="left"/>
              <w:rPr>
                <w:rFonts w:hint="default" w:ascii="Calibri" w:hAnsi="Calibri" w:cs="Calibri"/>
              </w:rPr>
            </w:pPr>
            <w:r>
              <w:rPr>
                <w:rFonts w:hint="default" w:ascii="Calibri" w:hAnsi="Calibri" w:cs="Calibri"/>
              </w:rPr>
              <w:t>8</w:t>
            </w:r>
          </w:p>
        </w:tc>
      </w:tr>
      <w:tr w14:paraId="2365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0923097">
            <w:pPr>
              <w:jc w:val="left"/>
              <w:rPr>
                <w:rFonts w:hint="default" w:ascii="Calibri" w:hAnsi="Calibri" w:cs="Calibri"/>
              </w:rPr>
            </w:pPr>
            <w:r>
              <w:rPr>
                <w:rFonts w:hint="default" w:ascii="Calibri" w:hAnsi="Calibri" w:cs="Calibri"/>
              </w:rPr>
              <w:t>时序窗口参数</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0AFF093">
            <w:pPr>
              <w:jc w:val="left"/>
              <w:rPr>
                <w:rFonts w:hint="default" w:ascii="Calibri" w:hAnsi="Calibri" w:cs="Calibri"/>
              </w:rPr>
            </w:pPr>
            <w:r>
              <w:rPr>
                <w:rFonts w:hint="default" w:ascii="Calibri" w:hAnsi="Calibri" w:cs="Calibri"/>
              </w:rPr>
              <w:t>window_size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5A5A7F">
            <w:pPr>
              <w:jc w:val="left"/>
              <w:rPr>
                <w:rFonts w:hint="default" w:ascii="Calibri" w:hAnsi="Calibri" w:cs="Calibri"/>
              </w:rPr>
            </w:pPr>
            <w:r>
              <w:rPr>
                <w:rFonts w:hint="default" w:ascii="Calibri" w:hAnsi="Calibri" w:cs="Calibri"/>
              </w:rPr>
              <w:t>14</w:t>
            </w:r>
          </w:p>
        </w:tc>
      </w:tr>
      <w:tr w14:paraId="04DB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398DEE1">
            <w:pPr>
              <w:jc w:val="left"/>
              <w:rPr>
                <w:rFonts w:hint="default" w:ascii="Calibri" w:hAnsi="Calibri" w:cs="Calibri"/>
              </w:rPr>
            </w:pPr>
            <w:r>
              <w:rPr>
                <w:rFonts w:hint="default" w:ascii="Calibri" w:hAnsi="Calibri" w:cs="Calibri"/>
              </w:rPr>
              <w:t>早停与监控</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D46F659">
            <w:pPr>
              <w:jc w:val="left"/>
              <w:rPr>
                <w:rFonts w:hint="default" w:ascii="Calibri" w:hAnsi="Calibri" w:cs="Calibri"/>
              </w:rPr>
            </w:pPr>
            <w:r>
              <w:rPr>
                <w:rFonts w:hint="default" w:ascii="Calibri" w:hAnsi="Calibri" w:cs="Calibri"/>
              </w:rPr>
              <w:t>early_stopping_patience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D406D4E">
            <w:pPr>
              <w:jc w:val="left"/>
              <w:rPr>
                <w:rFonts w:hint="default" w:ascii="Calibri" w:hAnsi="Calibri" w:cs="Calibri"/>
              </w:rPr>
            </w:pPr>
            <w:r>
              <w:rPr>
                <w:rFonts w:hint="default" w:ascii="Calibri" w:hAnsi="Calibri" w:cs="Calibri"/>
              </w:rPr>
              <w:t>20</w:t>
            </w:r>
          </w:p>
        </w:tc>
      </w:tr>
      <w:tr w14:paraId="4139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restar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CA7168E">
            <w:pPr>
              <w:jc w:val="left"/>
              <w:rPr>
                <w:rFonts w:hint="default" w:ascii="Calibri" w:hAnsi="Calibri" w:cs="Calibri"/>
              </w:rPr>
            </w:pPr>
            <w:r>
              <w:rPr>
                <w:rFonts w:hint="default" w:ascii="Calibri" w:hAnsi="Calibri" w:cs="Calibri"/>
              </w:rPr>
              <w:t>其他可选参数</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D39CE6D">
            <w:pPr>
              <w:jc w:val="left"/>
              <w:rPr>
                <w:rFonts w:hint="default" w:ascii="Calibri" w:hAnsi="Calibri" w:cs="Calibri"/>
              </w:rPr>
            </w:pPr>
            <w:r>
              <w:rPr>
                <w:rFonts w:hint="default" w:ascii="Calibri" w:hAnsi="Calibri" w:cs="Calibri"/>
              </w:rPr>
              <w:t>seed</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4305B05">
            <w:pPr>
              <w:jc w:val="left"/>
              <w:rPr>
                <w:rFonts w:hint="default" w:ascii="Calibri" w:hAnsi="Calibri" w:cs="Calibri"/>
              </w:rPr>
            </w:pPr>
            <w:r>
              <w:rPr>
                <w:rFonts w:hint="default" w:ascii="Calibri" w:hAnsi="Calibri" w:cs="Calibri"/>
              </w:rPr>
              <w:t>42</w:t>
            </w:r>
          </w:p>
        </w:tc>
      </w:tr>
      <w:tr w14:paraId="5B52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0AFD474">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99FB64C">
            <w:pPr>
              <w:jc w:val="left"/>
              <w:rPr>
                <w:rFonts w:hint="default" w:ascii="Calibri" w:hAnsi="Calibri" w:cs="Calibri"/>
              </w:rPr>
            </w:pPr>
            <w:r>
              <w:rPr>
                <w:rFonts w:hint="default" w:ascii="Calibri" w:hAnsi="Calibri" w:cs="Calibri"/>
              </w:rPr>
              <w:t>device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01D1F60">
            <w:pPr>
              <w:jc w:val="left"/>
              <w:rPr>
                <w:rFonts w:hint="default" w:ascii="Calibri" w:hAnsi="Calibri" w:cs="Calibri"/>
              </w:rPr>
            </w:pPr>
            <w:r>
              <w:rPr>
                <w:rFonts w:hint="default" w:ascii="Calibri" w:hAnsi="Calibri" w:cs="Calibri"/>
              </w:rPr>
              <w:t>cuda</w:t>
            </w:r>
          </w:p>
        </w:tc>
      </w:tr>
      <w:tr w14:paraId="4F4B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8171B2">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F815A50">
            <w:pPr>
              <w:jc w:val="left"/>
              <w:rPr>
                <w:rFonts w:hint="default" w:ascii="Calibri" w:hAnsi="Calibri" w:cs="Calibri"/>
              </w:rPr>
            </w:pPr>
            <w:r>
              <w:rPr>
                <w:rFonts w:hint="default" w:ascii="Calibri" w:hAnsi="Calibri" w:cs="Calibri"/>
              </w:rPr>
              <w:t>checkpoint_dir</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30F0D9F">
            <w:pPr>
              <w:jc w:val="left"/>
              <w:rPr>
                <w:rFonts w:hint="default" w:ascii="Calibri" w:hAnsi="Calibri" w:cs="Calibri"/>
              </w:rPr>
            </w:pPr>
            <w:r>
              <w:rPr>
                <w:rFonts w:hint="default" w:ascii="Calibri" w:hAnsi="Calibri" w:cs="Calibri"/>
              </w:rPr>
              <w:t>./checkpoint</w:t>
            </w:r>
          </w:p>
        </w:tc>
      </w:tr>
    </w:tbl>
    <w:p w14:paraId="7217C301">
      <w:pPr>
        <w:pStyle w:val="2"/>
        <w:numPr>
          <w:ilvl w:val="0"/>
          <w:numId w:val="2"/>
        </w:numPr>
        <w:ind w:left="0" w:leftChars="0" w:firstLine="480" w:firstLineChars="0"/>
        <w:rPr>
          <w:rFonts w:hint="eastAsia" w:ascii="黑体" w:hAnsi="黑体" w:eastAsia="黑体" w:cs="黑体"/>
          <w:b w:val="0"/>
        </w:rPr>
      </w:pPr>
      <w:r>
        <w:t>实验结果分析</w:t>
      </w:r>
    </w:p>
    <w:p w14:paraId="5FE1F8B1">
      <w:pPr>
        <w:pStyle w:val="11"/>
      </w:pPr>
      <w:r>
        <w:t>我们分别对比了Vanilla RNN、LSTM与GRU在电力消耗、日常气候、Yahoo股票三个时序数据集上的预测性能，所有指标均取</w:t>
      </w:r>
      <w:r>
        <w:rPr>
          <w:rStyle w:val="17"/>
        </w:rPr>
        <w:t>验证集最佳epoch</w:t>
      </w:r>
      <w:r>
        <w:t>对应的数值，以确保对比的公平性。各数据集的评测数据柱状图如下</w:t>
      </w:r>
      <w:r>
        <w:drawing>
          <wp:inline distT="0" distB="0" distL="114300" distR="114300">
            <wp:extent cx="5272405" cy="3514725"/>
            <wp:effectExtent l="0" t="0" r="635" b="571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7"/>
                    <a:stretch>
                      <a:fillRect/>
                    </a:stretch>
                  </pic:blipFill>
                  <pic:spPr>
                    <a:xfrm>
                      <a:off x="0" y="0"/>
                      <a:ext cx="5272405" cy="3514725"/>
                    </a:xfrm>
                    <a:prstGeom prst="rect">
                      <a:avLst/>
                    </a:prstGeom>
                    <a:noFill/>
                    <a:ln>
                      <a:noFill/>
                    </a:ln>
                  </pic:spPr>
                </pic:pic>
              </a:graphicData>
            </a:graphic>
          </wp:inline>
        </w:drawing>
      </w:r>
      <w:r>
        <w:t>：</w:t>
      </w:r>
    </w:p>
    <w:p w14:paraId="10F20AF3">
      <w:pPr>
        <w:pStyle w:val="11"/>
      </w:pPr>
      <w:r>
        <w:t>第一组实验结果显示：</w:t>
      </w:r>
    </w:p>
    <w:p w14:paraId="4D01C337">
      <w:pPr>
        <w:pStyle w:val="11"/>
      </w:pPr>
      <w:r>
        <w:t>Vanilla RNN在MSE、RMSE、MAE三项误差指标上均取得最优值，同时其R²达到0.83，显著高于LSTM与GRU。</w:t>
      </w:r>
    </w:p>
    <w:p w14:paraId="11AA25E0">
      <w:pPr>
        <w:pStyle w:val="11"/>
      </w:pPr>
      <w:r>
        <w:t>该数据集的时序模式相对简单，长期依赖特征不明显，Vanilla RNN的状态更新形式已足以建模数据的主要趋势。在此场景下，引入门控机制（LSTM/GRU）反而增加了模型复杂度，造成不必要的参数冗余。</w:t>
      </w:r>
    </w:p>
    <w:p w14:paraId="03A2C3C6">
      <w:pPr>
        <w:pStyle w:val="11"/>
      </w:pPr>
      <w:r>
        <w:drawing>
          <wp:inline distT="0" distB="0" distL="114300" distR="114300">
            <wp:extent cx="5272405" cy="3514725"/>
            <wp:effectExtent l="0" t="0" r="635" b="571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8"/>
                    <a:stretch>
                      <a:fillRect/>
                    </a:stretch>
                  </pic:blipFill>
                  <pic:spPr>
                    <a:xfrm>
                      <a:off x="0" y="0"/>
                      <a:ext cx="5272405" cy="3514725"/>
                    </a:xfrm>
                    <a:prstGeom prst="rect">
                      <a:avLst/>
                    </a:prstGeom>
                    <a:noFill/>
                    <a:ln>
                      <a:noFill/>
                    </a:ln>
                  </pic:spPr>
                </pic:pic>
              </a:graphicData>
            </a:graphic>
          </wp:inline>
        </w:drawing>
      </w:r>
      <w:r>
        <w:t>第二组实验中，三种模型在所有误差指标上的差距明显缩小：MSE约集中在0.005左右，R²均稳定在0.89左右，MAE差异小于0.003。</w:t>
      </w:r>
    </w:p>
    <w:p w14:paraId="4C71EC16">
      <w:pPr>
        <w:pStyle w:val="11"/>
      </w:pPr>
      <w:r>
        <w:t>该数据集呈现出更平滑的时间变化趋势、较低的噪声水平与明显的可预测结构，因此模型性能更多受限于数据本身的信息上限，而非网络结构的表达能力。</w:t>
      </w:r>
    </w:p>
    <w:p w14:paraId="2306333F">
      <w:pPr>
        <w:pStyle w:val="11"/>
      </w:pPr>
      <w:r>
        <w:drawing>
          <wp:inline distT="0" distB="0" distL="114300" distR="114300">
            <wp:extent cx="5272405" cy="3514725"/>
            <wp:effectExtent l="0" t="0" r="635" b="571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72405" cy="3514725"/>
                    </a:xfrm>
                    <a:prstGeom prst="rect">
                      <a:avLst/>
                    </a:prstGeom>
                  </pic:spPr>
                </pic:pic>
              </a:graphicData>
            </a:graphic>
          </wp:inline>
        </w:drawing>
      </w:r>
      <w:r>
        <w:t>第三组实验呈现出最为显著的模型差异：</w:t>
      </w:r>
    </w:p>
    <w:p w14:paraId="7299B9BB">
      <w:pPr>
        <w:pStyle w:val="11"/>
        <w:numPr>
          <w:ilvl w:val="0"/>
          <w:numId w:val="3"/>
        </w:numPr>
        <w:ind w:left="780" w:leftChars="200" w:hanging="360" w:firstLineChars="0"/>
      </w:pPr>
      <w:r>
        <w:t>GRU在MSE、RMSE、MAE上均显著优于其他两种模型，LSTM的误差指标则明显偏大；R²方面，GRU与RNN均明显高于LSTM。</w:t>
      </w:r>
    </w:p>
    <w:p w14:paraId="333800C3">
      <w:pPr>
        <w:pStyle w:val="11"/>
      </w:pPr>
      <w:r>
        <w:t>该数据集波动幅度大、非线性特征更强，对状态更新的稳定性要求较高。GRU的门控结构在</w:t>
      </w:r>
      <w:r>
        <w:rPr>
          <w:rStyle w:val="17"/>
        </w:rPr>
        <w:t>控制历史信息的保留与更新</w:t>
      </w:r>
      <w:r>
        <w:t>时更为直接，有助于抑制噪声传播；而LSTM在该场景下可能出现</w:t>
      </w:r>
      <w:r>
        <w:rPr>
          <w:rStyle w:val="17"/>
        </w:rPr>
        <w:t>门控过拟合或梯度更新不稳定</w:t>
      </w:r>
      <w:r>
        <w:t>的问题。</w:t>
      </w:r>
    </w:p>
    <w:p w14:paraId="03518B5F">
      <w:pPr>
        <w:pStyle w:val="3"/>
        <w:numPr>
          <w:ilvl w:val="0"/>
          <w:numId w:val="2"/>
        </w:numPr>
        <w:ind w:left="0" w:leftChars="0" w:firstLine="480" w:firstLineChars="0"/>
        <w:rPr>
          <w:b w:val="0"/>
        </w:rPr>
      </w:pPr>
      <w:r>
        <w:t>报告总结：</w:t>
      </w:r>
    </w:p>
    <w:p w14:paraId="7E155BA7">
      <w:pPr>
        <w:pStyle w:val="11"/>
      </w:pPr>
      <w:r>
        <w:t>本报告通过在电力消耗预测、日常气候时间序列数据及Yahoo股票价格预测三个不同领域的时序数据集上，系统对比了Vanilla RNN、LSTM和GRU三种循环门控网络的预测性能，深入探究了其在时序预测任务中的表现规律。实验结果表明，模型性能与数据集特性紧密相关：在时序模式相对简单、长期依赖特征不明显的电力消耗预测数据集上，Vanilla RNN凭借简洁的状态更新形式即可有效建模主要趋势，且因参数冗余少，在MSE、RMSE、MAE等误差指标上取得最优值，R²达到0.83，表现优于LSTM与GRU；在数据更平滑、噪声水平较低且具有明显可预测结构的日常气候时间序列数据集上，三种模型的性能差距显著缩小，MSE约集中在0.005左右，R²均稳定在0.89左右，MAE差异小于0.003，此时模型性能更多受限于数据本身的信息上限；而在波动幅度大、非线性更强的Yahoo股票价格数据集上，GRU凭借将输入门与遗忘门合并为更新门、仅保留重置门与更新门的简化设计，在控制历史信息保留与更新方面更为直接，有效抑制了噪声传播，从而在MSE、RMSE、MAE上均显著优于其他模型，R²也明显高于LSTM，LSTM则可能出现门控过拟合或梯度更新不稳定的问题。综合来看，LSTM在理论上具备更强的长序列依赖建模能力，而GRU在保持相近性能的同时，因计算复杂度更低而展现出更高的训练效率。本实验验证了循环门控网络在时序预测任务中的有效性，并揭示了不同循环门控模型的适用场景与特性，为实际时序预测问题中模型的选择提供了有力依据。未来工作可进一步探索不同超参数组合对模型性能的影响，并考虑引入注意力机制等先进技术以提升模型对关键时序特征的捕捉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CA3923"/>
    <w:multiLevelType w:val="singleLevel"/>
    <w:tmpl w:val="55CA3923"/>
    <w:lvl w:ilvl="0" w:tentative="0">
      <w:start w:val="1"/>
      <w:numFmt w:val="decimal"/>
      <w:suff w:val="nothing"/>
      <w:lvlText w:val="%1、"/>
      <w:lvlJc w:val="left"/>
      <w:pPr>
        <w:ind w:left="0" w:firstLine="0"/>
      </w:pPr>
      <w:rPr>
        <w:rFonts w:hint="default"/>
      </w:rPr>
    </w:lvl>
  </w:abstractNum>
  <w:abstractNum w:abstractNumId="1">
    <w:nsid w:val="5B5E11AC"/>
    <w:multiLevelType w:val="singleLevel"/>
    <w:tmpl w:val="5B5E11AC"/>
    <w:lvl w:ilvl="0" w:tentative="0">
      <w:start w:val="1"/>
      <w:numFmt w:val="bullet"/>
      <w:lvlText w:val=""/>
      <w:lvlJc w:val="left"/>
      <w:pPr>
        <w:ind w:left="720" w:hanging="360"/>
      </w:pPr>
      <w:rPr>
        <w:rFonts w:hint="default" w:ascii="Symbol" w:hAnsi="Symbol" w:cs="Symbol"/>
        <w:sz w:val="20"/>
      </w:rPr>
    </w:lvl>
  </w:abstractNum>
  <w:abstractNum w:abstractNumId="2">
    <w:nsid w:val="64BF6BAC"/>
    <w:multiLevelType w:val="singleLevel"/>
    <w:tmpl w:val="64BF6BAC"/>
    <w:lvl w:ilvl="0" w:tentative="0">
      <w:start w:val="1"/>
      <w:numFmt w:val="decimal"/>
      <w:suff w:val="space"/>
      <w:lvlText w:val="%1."/>
      <w:lvlJc w:val="left"/>
      <w:pPr>
        <w:ind w:left="0" w:firstLine="48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HorizontalSpacing w:val="122"/>
  <w:drawingGridVerticalSpacing w:val="16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DD7EF4"/>
    <w:rsid w:val="036761A6"/>
    <w:rsid w:val="043157A2"/>
    <w:rsid w:val="05512EFF"/>
    <w:rsid w:val="07E56918"/>
    <w:rsid w:val="09822228"/>
    <w:rsid w:val="09DC429A"/>
    <w:rsid w:val="0B1A6AC6"/>
    <w:rsid w:val="0B5B5331"/>
    <w:rsid w:val="0E6D73E5"/>
    <w:rsid w:val="0EA10538"/>
    <w:rsid w:val="10AF15EB"/>
    <w:rsid w:val="12BC6158"/>
    <w:rsid w:val="136202C9"/>
    <w:rsid w:val="13B518E3"/>
    <w:rsid w:val="148D3E49"/>
    <w:rsid w:val="172760F4"/>
    <w:rsid w:val="199E57CD"/>
    <w:rsid w:val="1A82148C"/>
    <w:rsid w:val="1F104283"/>
    <w:rsid w:val="2006711A"/>
    <w:rsid w:val="25476CE7"/>
    <w:rsid w:val="2617492B"/>
    <w:rsid w:val="28B64A65"/>
    <w:rsid w:val="29DB4023"/>
    <w:rsid w:val="29FD21F3"/>
    <w:rsid w:val="2A1A5F20"/>
    <w:rsid w:val="2A656F6C"/>
    <w:rsid w:val="2CD63934"/>
    <w:rsid w:val="2DB77A10"/>
    <w:rsid w:val="2DDD09AD"/>
    <w:rsid w:val="31A237FE"/>
    <w:rsid w:val="3339603D"/>
    <w:rsid w:val="36105F02"/>
    <w:rsid w:val="3C1732DC"/>
    <w:rsid w:val="3DCD3AA7"/>
    <w:rsid w:val="3F471A53"/>
    <w:rsid w:val="40DD7EF4"/>
    <w:rsid w:val="41A074D3"/>
    <w:rsid w:val="43473F7B"/>
    <w:rsid w:val="47FC6227"/>
    <w:rsid w:val="48B31EE1"/>
    <w:rsid w:val="49651C2F"/>
    <w:rsid w:val="49D91881"/>
    <w:rsid w:val="4B4A5430"/>
    <w:rsid w:val="4F7445F7"/>
    <w:rsid w:val="50914F3C"/>
    <w:rsid w:val="50D71E2D"/>
    <w:rsid w:val="52CF1594"/>
    <w:rsid w:val="53902026"/>
    <w:rsid w:val="5895118F"/>
    <w:rsid w:val="5AD741BA"/>
    <w:rsid w:val="5EBB7B47"/>
    <w:rsid w:val="5F3F649A"/>
    <w:rsid w:val="5F921CDC"/>
    <w:rsid w:val="61D268F1"/>
    <w:rsid w:val="64E27B48"/>
    <w:rsid w:val="6550176C"/>
    <w:rsid w:val="6647794F"/>
    <w:rsid w:val="6DB602F7"/>
    <w:rsid w:val="6FFC69A7"/>
    <w:rsid w:val="74471CA9"/>
    <w:rsid w:val="752F68D0"/>
    <w:rsid w:val="7671495D"/>
    <w:rsid w:val="7C31253B"/>
    <w:rsid w:val="7C540886"/>
    <w:rsid w:val="7DF3131A"/>
    <w:rsid w:val="7EF04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7">
    <w:name w:val="Strong"/>
    <w:basedOn w:val="16"/>
    <w:qFormat/>
    <w:uiPriority w:val="0"/>
    <w:rPr>
      <w:b/>
    </w:rPr>
  </w:style>
  <w:style w:type="character" w:customStyle="1" w:styleId="18">
    <w:name w:val="关键词"/>
    <w:qFormat/>
    <w:uiPriority w:val="0"/>
    <w:rPr>
      <w:rFonts w:ascii="Times New Roman" w:hAnsi="Times New Roman" w:eastAsia="宋体" w:cs="宋体"/>
      <w:b/>
      <w:bCs/>
      <w:sz w:val="24"/>
    </w:rPr>
  </w:style>
  <w:style w:type="paragraph" w:customStyle="1" w:styleId="19">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2610</Words>
  <Characters>3130</Characters>
  <Lines>0</Lines>
  <Paragraphs>0</Paragraphs>
  <TotalTime>0</TotalTime>
  <ScaleCrop>false</ScaleCrop>
  <LinksUpToDate>false</LinksUpToDate>
  <CharactersWithSpaces>3146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2025-12-22T13:28:00Z</dcterms:created>
  <dc:creator>欧阳林茁</dc:creator>
  <cp:lastModifiedBy>欧阳林茁</cp:lastModifiedBy>
  <dcterms:modified xsi:type="dcterms:W3CDTF">2025-12-23T03:18:30Z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EEA1F426F33747208497D3E6B49D4ADF_11</vt:lpwstr>
  </property>
  <property fmtid="{D5CDD505-2E9C-101B-9397-08002B2CF9AE}" pid="4" name="KSOTemplateDocerSaveRecord">
    <vt:lpwstr>eyJoZGlkIjoiZmYxNDMwYTJlODIxYjg1NTg2YTcxNDQ5NDQ4ZjhiZGEiLCJ1c2VySWQiOiIzMTc5MDY4OTkifQ==</vt:lpwstr>
  </property>
</Properties>
</file>