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1540510"/>
            <wp:effectExtent l="19050" t="0" r="2540" b="0"/>
            <wp:docPr id="3" name="Picture 1" descr="C:\Users\ADMINI~1\AppData\Local\Temp\WeChat Files\a7ea0de002c2511c76ad520758a9f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ADMINI~1\AppData\Local\Temp\WeChat Files\a7ea0de002c2511c76ad520758a9fd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56"/>
          <w:szCs w:val="56"/>
        </w:rPr>
      </w:pPr>
      <w:bookmarkStart w:id="0" w:name="_Toc424545520"/>
    </w:p>
    <w:p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富士医院医疗设备管理系统</w:t>
      </w:r>
    </w:p>
    <w:p/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软件关键功能显示条件的逻辑定义</w:t>
      </w:r>
    </w:p>
    <w:p/>
    <w:p/>
    <w:p/>
    <w:p/>
    <w:p/>
    <w:p/>
    <w:p/>
    <w:p>
      <w:pPr>
        <w:jc w:val="right"/>
        <w:rPr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8"/>
          <w:szCs w:val="28"/>
        </w:rPr>
        <w:t xml:space="preserve">Revision Date: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28</w:t>
      </w:r>
      <w:r>
        <w:rPr>
          <w:sz w:val="28"/>
          <w:szCs w:val="28"/>
        </w:rPr>
        <w:t>/20</w:t>
      </w:r>
      <w:bookmarkEnd w:id="0"/>
      <w:bookmarkStart w:id="1" w:name="_Toc22808570"/>
      <w:bookmarkStart w:id="2" w:name="_Toc22799776"/>
      <w:r>
        <w:rPr>
          <w:rFonts w:hint="eastAsia"/>
          <w:sz w:val="28"/>
          <w:szCs w:val="28"/>
        </w:rPr>
        <w:t>20</w:t>
      </w:r>
      <w:bookmarkEnd w:id="1"/>
      <w:bookmarkEnd w:id="2"/>
      <w:bookmarkStart w:id="3" w:name="_Toc23258324"/>
      <w:bookmarkStart w:id="4" w:name="_Toc23258364"/>
      <w:bookmarkStart w:id="5" w:name="_Toc23258221"/>
      <w:bookmarkStart w:id="6" w:name="_Toc22799777"/>
      <w:bookmarkStart w:id="7" w:name="_Toc22808571"/>
    </w:p>
    <w:sdt>
      <w:sdtPr>
        <w:rPr>
          <w:rFonts w:cs="Times New Roman" w:asciiTheme="minorHAnsi" w:hAnsiTheme="minorHAnsi" w:eastAsiaTheme="minorEastAsia"/>
          <w:b w:val="0"/>
          <w:bCs w:val="0"/>
          <w:color w:val="auto"/>
          <w:kern w:val="2"/>
          <w:sz w:val="24"/>
          <w:szCs w:val="24"/>
          <w:lang w:eastAsia="zh-CN"/>
        </w:rPr>
        <w:id w:val="31728193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b w:val="0"/>
          <w:bCs w:val="0"/>
          <w:color w:val="auto"/>
          <w:kern w:val="2"/>
          <w:sz w:val="24"/>
          <w:szCs w:val="24"/>
          <w:lang w:eastAsia="zh-CN"/>
        </w:rPr>
      </w:sdtEndPr>
      <w:sdtContent>
        <w:p>
          <w:pPr>
            <w:pStyle w:val="30"/>
            <w:jc w:val="center"/>
            <w:rPr>
              <w:rFonts w:eastAsia="SimSun"/>
              <w:lang w:eastAsia="zh-CN"/>
            </w:rPr>
          </w:pPr>
          <w:r>
            <w:t>目</w:t>
          </w:r>
          <w:r>
            <w:rPr>
              <w:rFonts w:hint="eastAsia" w:eastAsia="SimSun"/>
              <w:lang w:eastAsia="zh-CN"/>
            </w:rPr>
            <w:t xml:space="preserve"> </w:t>
          </w:r>
          <w:r>
            <w:t>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_Toc22047 </w:instrText>
          </w:r>
          <w:r>
            <w:fldChar w:fldCharType="separate"/>
          </w:r>
          <w:r>
            <w:rPr>
              <w:rFonts w:hint="eastAsia"/>
            </w:rPr>
            <w:t>1. 页面列表排序</w:t>
          </w:r>
          <w:r>
            <w:tab/>
          </w:r>
          <w:r>
            <w:fldChar w:fldCharType="begin"/>
          </w:r>
          <w:r>
            <w:instrText xml:space="preserve"> PAGEREF _Toc22047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_Toc22947 </w:instrText>
          </w:r>
          <w:r>
            <w:fldChar w:fldCharType="separate"/>
          </w:r>
          <w:r>
            <w:t xml:space="preserve">1.1. </w:t>
          </w:r>
          <w:r>
            <w:rPr>
              <w:rFonts w:hint="eastAsia"/>
            </w:rPr>
            <w:t>Dashboard</w:t>
          </w:r>
          <w:r>
            <w:tab/>
          </w:r>
          <w:r>
            <w:fldChar w:fldCharType="begin"/>
          </w:r>
          <w:r>
            <w:instrText xml:space="preserve"> PAGEREF _Toc22947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_Toc17457 </w:instrText>
          </w:r>
          <w:r>
            <w:fldChar w:fldCharType="separate"/>
          </w:r>
          <w:r>
            <w:t>1.2. 客户请求</w:t>
          </w:r>
          <w:r>
            <w:tab/>
          </w:r>
          <w:r>
            <w:fldChar w:fldCharType="begin"/>
          </w:r>
          <w:r>
            <w:instrText xml:space="preserve"> PAGEREF _Toc17457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_Toc14117 </w:instrText>
          </w:r>
          <w:r>
            <w:fldChar w:fldCharType="separate"/>
          </w:r>
          <w:r>
            <w:t xml:space="preserve">1.3. </w:t>
          </w:r>
          <w:r>
            <w:rPr>
              <w:rFonts w:hint="eastAsia"/>
            </w:rPr>
            <w:t>派工单</w:t>
          </w:r>
          <w:r>
            <w:tab/>
          </w:r>
          <w:r>
            <w:fldChar w:fldCharType="begin"/>
          </w:r>
          <w:r>
            <w:instrText xml:space="preserve"> PAGEREF _Toc14117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_Toc20642 </w:instrText>
          </w:r>
          <w:r>
            <w:fldChar w:fldCharType="separate"/>
          </w:r>
          <w:r>
            <w:rPr>
              <w:rFonts w:hint="eastAsia"/>
            </w:rPr>
            <w:t xml:space="preserve">2. </w:t>
          </w:r>
          <w:r>
            <w:t>生命周期页面</w:t>
          </w:r>
          <w:r>
            <w:tab/>
          </w:r>
          <w:r>
            <w:fldChar w:fldCharType="begin"/>
          </w:r>
          <w:r>
            <w:instrText xml:space="preserve"> PAGEREF _Toc20642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_Toc20110 </w:instrText>
          </w:r>
          <w:r>
            <w:fldChar w:fldCharType="separate"/>
          </w:r>
          <w:r>
            <w:rPr>
              <w:rFonts w:hint="eastAsia"/>
            </w:rPr>
            <w:t>3. 作业报告类型切换</w:t>
          </w:r>
          <w:r>
            <w:tab/>
          </w:r>
          <w:r>
            <w:fldChar w:fldCharType="begin"/>
          </w:r>
          <w:r>
            <w:instrText xml:space="preserve"> PAGEREF _Toc20110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_Toc20816 </w:instrText>
          </w:r>
          <w:r>
            <w:fldChar w:fldCharType="separate"/>
          </w:r>
          <w:r>
            <w:rPr>
              <w:rFonts w:hint="eastAsia"/>
            </w:rPr>
            <w:t>4. 隐藏必输项字段</w:t>
          </w:r>
          <w:r>
            <w:tab/>
          </w:r>
          <w:r>
            <w:fldChar w:fldCharType="begin"/>
          </w:r>
          <w:r>
            <w:instrText xml:space="preserve"> PAGEREF _Toc20816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 </w:instrText>
          </w:r>
          <w:r>
            <w:fldChar w:fldCharType="separate"/>
          </w:r>
          <w:r>
            <w:t xml:space="preserve">4.1. </w:t>
          </w:r>
          <w:r>
            <w:rPr>
              <w:rFonts w:hint="eastAsia"/>
            </w:rPr>
            <w:t>设备</w:t>
          </w:r>
          <w:r>
            <w:tab/>
          </w:r>
          <w:r>
            <w:fldChar w:fldCharType="begin"/>
          </w:r>
          <w:r>
            <w:instrText xml:space="preserve"> PAGEREF _Toc102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_Toc1599 </w:instrText>
          </w:r>
          <w:r>
            <w:fldChar w:fldCharType="separate"/>
          </w:r>
          <w:r>
            <w:t xml:space="preserve">4.2. </w:t>
          </w:r>
          <w:r>
            <w:rPr>
              <w:rFonts w:hint="eastAsia"/>
            </w:rPr>
            <w:t>作业报告/服务凭证</w:t>
          </w:r>
          <w:r>
            <w:tab/>
          </w:r>
          <w:r>
            <w:fldChar w:fldCharType="begin"/>
          </w:r>
          <w:r>
            <w:instrText xml:space="preserve"> PAGEREF _Toc1599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_Toc20438 </w:instrText>
          </w:r>
          <w:r>
            <w:fldChar w:fldCharType="separate"/>
          </w:r>
          <w:r>
            <w:rPr>
              <w:rFonts w:hint="eastAsia"/>
            </w:rPr>
            <w:t xml:space="preserve">5. </w:t>
          </w:r>
          <w:r>
            <w:t>超期条件</w:t>
          </w:r>
          <w:r>
            <w:tab/>
          </w:r>
          <w:r>
            <w:fldChar w:fldCharType="begin"/>
          </w:r>
          <w:r>
            <w:instrText xml:space="preserve"> PAGEREF _Toc20438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_Toc25694 </w:instrText>
          </w:r>
          <w:r>
            <w:fldChar w:fldCharType="separate"/>
          </w:r>
          <w:r>
            <w:rPr>
              <w:rFonts w:hint="eastAsia"/>
            </w:rPr>
            <w:t>6. Dashboard页面</w:t>
          </w:r>
          <w:r>
            <w:tab/>
          </w:r>
          <w:r>
            <w:fldChar w:fldCharType="begin"/>
          </w:r>
          <w:r>
            <w:instrText xml:space="preserve"> PAGEREF _Toc25694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bookmarkEnd w:id="3"/>
    <w:bookmarkEnd w:id="4"/>
    <w:bookmarkEnd w:id="5"/>
    <w:bookmarkEnd w:id="6"/>
    <w:bookmarkEnd w:id="7"/>
    <w:p>
      <w:bookmarkStart w:id="8" w:name="_Toc13946"/>
      <w:r>
        <w:rPr>
          <w:rFonts w:hint="eastAsia"/>
        </w:rPr>
        <w:br w:type="page"/>
      </w:r>
    </w:p>
    <w:p>
      <w:pPr>
        <w:pStyle w:val="2"/>
      </w:pPr>
      <w:bookmarkStart w:id="9" w:name="_Toc22047"/>
      <w:r>
        <w:rPr>
          <w:rFonts w:hint="eastAsia"/>
        </w:rPr>
        <w:t>页面列表排序</w:t>
      </w:r>
      <w:bookmarkEnd w:id="8"/>
      <w:bookmarkEnd w:id="9"/>
    </w:p>
    <w:p>
      <w:pPr>
        <w:pStyle w:val="4"/>
      </w:pPr>
      <w:bookmarkStart w:id="10" w:name="_Toc17209"/>
      <w:bookmarkStart w:id="11" w:name="_Toc22947"/>
      <w:r>
        <w:rPr>
          <w:rFonts w:hint="eastAsia"/>
        </w:rPr>
        <w:t>Dashboard</w:t>
      </w:r>
      <w:bookmarkEnd w:id="10"/>
      <w:bookmarkEnd w:id="11"/>
    </w:p>
    <w:p>
      <w:pPr>
        <w:numPr>
          <w:ilvl w:val="0"/>
          <w:numId w:val="2"/>
        </w:numPr>
        <w:ind w:firstLine="480" w:firstLineChars="200"/>
      </w:pPr>
      <w:r>
        <w:rPr>
          <w:rFonts w:hint="eastAsia"/>
        </w:rPr>
        <w:t>超级管理员：待派工</w:t>
      </w:r>
    </w:p>
    <w:p>
      <w:pPr>
        <w:ind w:left="480" w:leftChars="200"/>
      </w:pPr>
      <w:r>
        <w:rPr>
          <w:rFonts w:hint="eastAsia"/>
        </w:rPr>
        <w:t>该列表的排序方式为：</w:t>
      </w:r>
      <w:bookmarkStart w:id="22" w:name="_GoBack"/>
      <w:bookmarkEnd w:id="22"/>
      <w:r>
        <w:rPr>
          <w:rFonts w:hint="eastAsia"/>
        </w:rPr>
        <w:t>超期,请求类型,请求日期降序,请求状态,请求编号</w:t>
      </w:r>
    </w:p>
    <w:p>
      <w:pPr>
        <w:ind w:left="480" w:leftChars="200"/>
      </w:pPr>
      <w:r>
        <w:drawing>
          <wp:inline distT="0" distB="0" distL="114300" distR="114300">
            <wp:extent cx="5269230" cy="1259205"/>
            <wp:effectExtent l="19050" t="19050" r="266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9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超级管理员：待审批</w:t>
      </w:r>
    </w:p>
    <w:p>
      <w:pPr>
        <w:ind w:left="400"/>
      </w:pPr>
      <w:r>
        <w:rPr>
          <w:rFonts w:hint="eastAsia"/>
        </w:rPr>
        <w:t>该列表的排序方式为：超期，请求类型，请求日期降序，派工单状态，</w:t>
      </w:r>
      <w:r>
        <w:rPr>
          <w:rFonts w:hint="eastAsia"/>
        </w:rPr>
        <w:br w:type="textWrapping"/>
      </w:r>
      <w:r>
        <w:rPr>
          <w:rFonts w:hint="eastAsia"/>
        </w:rPr>
        <w:t>派工单编号</w:t>
      </w:r>
    </w:p>
    <w:p>
      <w:pPr>
        <w:ind w:left="400"/>
      </w:pPr>
      <w:r>
        <w:drawing>
          <wp:inline distT="0" distB="0" distL="114300" distR="114300">
            <wp:extent cx="5268595" cy="1260475"/>
            <wp:effectExtent l="19050" t="19050" r="273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管理员：待响应/待上传</w:t>
      </w:r>
    </w:p>
    <w:p>
      <w:pPr>
        <w:ind w:left="400"/>
      </w:pPr>
      <w:r>
        <w:rPr>
          <w:rFonts w:hint="eastAsia"/>
        </w:rPr>
        <w:t>该列表的排序顺序为：派工单状态，派工类型，派工日期，派工单编号</w:t>
      </w:r>
    </w:p>
    <w:p>
      <w:pPr>
        <w:ind w:left="400"/>
      </w:pPr>
      <w:r>
        <w:drawing>
          <wp:inline distT="0" distB="0" distL="114300" distR="114300">
            <wp:extent cx="5264785" cy="2564130"/>
            <wp:effectExtent l="19050" t="19050" r="12065" b="266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4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2" w:name="_Toc27782"/>
      <w:bookmarkStart w:id="13" w:name="_Toc17457"/>
      <w:r>
        <w:t>客户请求</w:t>
      </w:r>
      <w:bookmarkEnd w:id="12"/>
      <w:bookmarkEnd w:id="13"/>
    </w:p>
    <w:p>
      <w:pPr>
        <w:ind w:left="480"/>
      </w:pPr>
      <w:r>
        <w:rPr>
          <w:rFonts w:hint="eastAsia"/>
        </w:rPr>
        <w:t>该列表的排序方式为</w:t>
      </w:r>
      <w:r>
        <w:t>超期</w:t>
      </w:r>
      <w:r>
        <w:rPr>
          <w:rFonts w:hint="eastAsia"/>
        </w:rPr>
        <w:t>，</w:t>
      </w:r>
      <w:r>
        <w:t>请求类型</w:t>
      </w:r>
      <w:r>
        <w:rPr>
          <w:rFonts w:hint="eastAsia"/>
        </w:rPr>
        <w:t>，</w:t>
      </w:r>
      <w:r>
        <w:t>请求日期降序</w:t>
      </w:r>
      <w:r>
        <w:rPr>
          <w:rFonts w:hint="eastAsia"/>
        </w:rPr>
        <w:t>，</w:t>
      </w:r>
      <w:r>
        <w:t>请求状态</w:t>
      </w:r>
      <w:r>
        <w:rPr>
          <w:rFonts w:hint="eastAsia"/>
        </w:rPr>
        <w:t>，</w:t>
      </w:r>
      <w:r>
        <w:t>请求编号</w:t>
      </w:r>
    </w:p>
    <w:p>
      <w:pPr>
        <w:ind w:left="480" w:leftChars="200"/>
      </w:pPr>
      <w:r>
        <w:drawing>
          <wp:inline distT="0" distB="0" distL="114300" distR="114300">
            <wp:extent cx="5269230" cy="2102485"/>
            <wp:effectExtent l="19050" t="19050" r="2667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br w:type="page"/>
      </w:r>
    </w:p>
    <w:p>
      <w:pPr>
        <w:pStyle w:val="4"/>
      </w:pPr>
      <w:bookmarkStart w:id="14" w:name="_Toc14117"/>
      <w:r>
        <w:rPr>
          <w:rFonts w:hint="eastAsia"/>
        </w:rPr>
        <w:t>派工单</w:t>
      </w:r>
      <w:bookmarkEnd w:id="14"/>
    </w:p>
    <w:p>
      <w:pPr>
        <w:numPr>
          <w:ilvl w:val="0"/>
          <w:numId w:val="3"/>
        </w:numPr>
        <w:ind w:firstLine="480" w:firstLineChars="200"/>
      </w:pPr>
      <w:r>
        <w:rPr>
          <w:rFonts w:hint="eastAsia"/>
        </w:rPr>
        <w:t>超级管理员</w:t>
      </w:r>
    </w:p>
    <w:p>
      <w:pPr>
        <w:ind w:left="480" w:leftChars="200"/>
      </w:pPr>
      <w:r>
        <w:rPr>
          <w:rFonts w:hint="eastAsia"/>
        </w:rPr>
        <w:t>该列表的排序方式为：超期，请求类型，请求日期降序，派工单状态，派工单编号</w:t>
      </w:r>
    </w:p>
    <w:p>
      <w:pPr>
        <w:ind w:left="480" w:leftChars="200"/>
      </w:pPr>
      <w:r>
        <w:drawing>
          <wp:inline distT="0" distB="0" distL="114300" distR="114300">
            <wp:extent cx="5269230" cy="2102485"/>
            <wp:effectExtent l="19050" t="19050" r="2667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/>
      </w:pPr>
      <w:r>
        <w:rPr>
          <w:rFonts w:hint="eastAsia"/>
        </w:rPr>
        <w:t>备注：当派工单状态为已审批时，不可以进行取消操作。</w:t>
      </w:r>
    </w:p>
    <w:p>
      <w:pPr>
        <w:numPr>
          <w:ilvl w:val="0"/>
          <w:numId w:val="3"/>
        </w:numPr>
        <w:ind w:firstLine="480" w:firstLineChars="200"/>
      </w:pPr>
      <w:r>
        <w:rPr>
          <w:rFonts w:hint="eastAsia"/>
        </w:rPr>
        <w:t>管理员</w:t>
      </w:r>
    </w:p>
    <w:p>
      <w:pPr>
        <w:ind w:left="400"/>
      </w:pPr>
      <w:r>
        <w:rPr>
          <w:rFonts w:hint="eastAsia"/>
        </w:rPr>
        <w:t>该列表的排序方式为：派工单状态(已响应第一)顺序，派工类型，派工日期，派工单编号</w:t>
      </w:r>
    </w:p>
    <w:p>
      <w:pPr>
        <w:ind w:left="480" w:leftChars="200"/>
      </w:pPr>
      <w:r>
        <w:drawing>
          <wp:inline distT="0" distB="0" distL="114300" distR="114300">
            <wp:extent cx="5269230" cy="2141220"/>
            <wp:effectExtent l="19050" t="19050" r="26670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1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bookmarkStart w:id="15" w:name="_Toc20642"/>
      <w:r>
        <w:t>生命周期页面</w:t>
      </w:r>
      <w:bookmarkEnd w:id="15"/>
    </w:p>
    <w:p>
      <w:pPr>
        <w:numPr>
          <w:ilvl w:val="0"/>
          <w:numId w:val="4"/>
        </w:numPr>
        <w:ind w:firstLine="480" w:firstLineChars="200"/>
      </w:pPr>
      <w:r>
        <w:rPr>
          <w:rFonts w:hint="eastAsia"/>
        </w:rPr>
        <w:t>如下图，从下往上依次为完成采购日期信息，装机信息，设备请求信息</w:t>
      </w:r>
    </w:p>
    <w:p>
      <w:pPr>
        <w:numPr>
          <w:ilvl w:val="0"/>
          <w:numId w:val="4"/>
        </w:numPr>
        <w:ind w:firstLine="480" w:firstLineChars="200"/>
      </w:pPr>
      <w:r>
        <w:rPr>
          <w:rFonts w:hint="eastAsia"/>
        </w:rPr>
        <w:t>从左往右依次为派工单结束</w:t>
      </w:r>
      <w:r>
        <w:t>日期,</w:t>
      </w:r>
      <w:r>
        <w:rPr>
          <w:rFonts w:hint="eastAsia"/>
        </w:rPr>
        <w:t>派工</w:t>
      </w:r>
      <w:r>
        <w:t>类型,请求编号,作业报告中详细处理方法字段,作业报告中备注字段</w:t>
      </w:r>
    </w:p>
    <w:p>
      <w:pPr>
        <w:ind w:left="480" w:leftChars="200"/>
      </w:pPr>
      <w:r>
        <w:drawing>
          <wp:inline distT="0" distB="0" distL="114300" distR="114300">
            <wp:extent cx="5273040" cy="3612515"/>
            <wp:effectExtent l="19050" t="19050" r="22860" b="260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2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18"/>
      </w:pPr>
      <w:r>
        <w:rPr>
          <w:rFonts w:hint="eastAsia"/>
        </w:rPr>
        <w:t>不同颜色代表：</w:t>
      </w:r>
    </w:p>
    <w:p>
      <w:pPr>
        <w:numPr>
          <w:ilvl w:val="0"/>
          <w:numId w:val="5"/>
        </w:numPr>
        <w:ind w:left="838"/>
      </w:pPr>
      <w:r>
        <w:rPr>
          <w:rFonts w:hint="eastAsia"/>
        </w:rPr>
        <w:t>红色：维修/强检</w:t>
      </w:r>
    </w:p>
    <w:p>
      <w:pPr>
        <w:numPr>
          <w:ilvl w:val="0"/>
          <w:numId w:val="5"/>
        </w:numPr>
        <w:ind w:left="838"/>
      </w:pPr>
      <w:r>
        <w:rPr>
          <w:rFonts w:hint="eastAsia"/>
        </w:rPr>
        <w:t>绿色：巡检/校正/保养</w:t>
      </w:r>
    </w:p>
    <w:p>
      <w:pPr>
        <w:numPr>
          <w:ilvl w:val="0"/>
          <w:numId w:val="5"/>
        </w:numPr>
        <w:ind w:left="838"/>
      </w:pPr>
      <w:r>
        <w:rPr>
          <w:rFonts w:hint="eastAsia"/>
        </w:rPr>
        <w:t>灰色：其他请求类型（不包含其他服务）及采购，装机信息</w:t>
      </w:r>
    </w:p>
    <w:p>
      <w:pPr>
        <w:ind w:left="418"/>
      </w:pPr>
      <w:r>
        <w:rPr>
          <w:rFonts w:hint="eastAsia"/>
        </w:rPr>
        <w:t>超级用户登录的Dashboard设备的生命周期与此一致</w:t>
      </w:r>
    </w:p>
    <w:p>
      <w:r>
        <w:rPr>
          <w:rFonts w:hint="eastAsia"/>
        </w:rPr>
        <w:br w:type="page"/>
      </w:r>
    </w:p>
    <w:p>
      <w:pPr>
        <w:pStyle w:val="2"/>
      </w:pPr>
      <w:bookmarkStart w:id="16" w:name="_Toc20110"/>
      <w:r>
        <w:rPr>
          <w:rFonts w:hint="eastAsia"/>
        </w:rPr>
        <w:t>作业报告类型切换</w:t>
      </w:r>
      <w:bookmarkEnd w:id="16"/>
    </w:p>
    <w:p>
      <w:pPr>
        <w:numPr>
          <w:ilvl w:val="0"/>
          <w:numId w:val="6"/>
        </w:numPr>
        <w:ind w:firstLine="480" w:firstLineChars="200"/>
      </w:pPr>
      <w:r>
        <w:rPr>
          <w:rFonts w:hint="eastAsia"/>
        </w:rPr>
        <w:t>专用作业报告（包含</w:t>
      </w:r>
      <w:r>
        <w:t>维修</w:t>
      </w:r>
      <w:r>
        <w:rPr>
          <w:rFonts w:hint="eastAsia"/>
        </w:rPr>
        <w:t>；</w:t>
      </w:r>
      <w:r>
        <w:t>保养</w:t>
      </w:r>
      <w:r>
        <w:rPr>
          <w:rFonts w:hint="eastAsia"/>
        </w:rPr>
        <w:t>；</w:t>
      </w:r>
      <w:r>
        <w:t>强检</w:t>
      </w:r>
      <w:r>
        <w:rPr>
          <w:rFonts w:hint="eastAsia"/>
        </w:rPr>
        <w:t>；</w:t>
      </w:r>
      <w:r>
        <w:t>巡检</w:t>
      </w:r>
      <w:r>
        <w:rPr>
          <w:rFonts w:hint="eastAsia"/>
        </w:rPr>
        <w:t>；</w:t>
      </w:r>
      <w:r>
        <w:t>校正</w:t>
      </w:r>
      <w:r>
        <w:rPr>
          <w:rFonts w:hint="eastAsia"/>
        </w:rPr>
        <w:t>；</w:t>
      </w:r>
      <w:r>
        <w:t>设备新增</w:t>
      </w:r>
      <w:r>
        <w:rPr>
          <w:rFonts w:hint="eastAsia"/>
        </w:rPr>
        <w:t>；</w:t>
      </w:r>
      <w:r>
        <w:t>不良事件</w:t>
      </w:r>
      <w:r>
        <w:rPr>
          <w:rFonts w:hint="eastAsia"/>
        </w:rPr>
        <w:t>；</w:t>
      </w:r>
      <w:r>
        <w:t>验收安装</w:t>
      </w:r>
      <w:r>
        <w:rPr>
          <w:rFonts w:hint="eastAsia"/>
        </w:rPr>
        <w:t>）可切换为通用作业报告（维修作业报告为例）</w:t>
      </w:r>
    </w:p>
    <w:p>
      <w:pPr>
        <w:ind w:left="480" w:leftChars="200"/>
      </w:pPr>
      <w:r>
        <w:drawing>
          <wp:inline distT="0" distB="0" distL="114300" distR="114300">
            <wp:extent cx="3124200" cy="2105025"/>
            <wp:effectExtent l="19050" t="19050" r="19050" b="285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80" w:firstLineChars="200"/>
      </w:pPr>
      <w:r>
        <w:rPr>
          <w:rFonts w:hint="eastAsia"/>
        </w:rPr>
        <w:t>通用作业报告（包含</w:t>
      </w:r>
      <w:r>
        <w:t>合同档案</w:t>
      </w:r>
      <w:r>
        <w:rPr>
          <w:rFonts w:hint="eastAsia"/>
        </w:rPr>
        <w:t>；</w:t>
      </w:r>
      <w:r>
        <w:t>调拨</w:t>
      </w:r>
      <w:r>
        <w:rPr>
          <w:rFonts w:hint="eastAsia"/>
        </w:rPr>
        <w:t>；</w:t>
      </w:r>
      <w:r>
        <w:t>借用</w:t>
      </w:r>
      <w:r>
        <w:rPr>
          <w:rFonts w:hint="eastAsia"/>
        </w:rPr>
        <w:t>；</w:t>
      </w:r>
      <w:r>
        <w:t>盘点</w:t>
      </w:r>
      <w:r>
        <w:rPr>
          <w:rFonts w:hint="eastAsia"/>
        </w:rPr>
        <w:t>；</w:t>
      </w:r>
      <w:r>
        <w:t>报废</w:t>
      </w:r>
      <w:r>
        <w:rPr>
          <w:rFonts w:hint="eastAsia"/>
        </w:rPr>
        <w:t>；</w:t>
      </w:r>
      <w:r>
        <w:t>其他服务</w:t>
      </w:r>
      <w:r>
        <w:rPr>
          <w:rFonts w:hint="eastAsia"/>
        </w:rPr>
        <w:t>）则无专用作业报告可选择，如下图提示</w:t>
      </w:r>
    </w:p>
    <w:p>
      <w:pPr>
        <w:ind w:left="480" w:leftChars="200"/>
      </w:pPr>
      <w:r>
        <w:drawing>
          <wp:inline distT="0" distB="0" distL="114300" distR="114300">
            <wp:extent cx="3076575" cy="1714500"/>
            <wp:effectExtent l="19050" t="19050" r="28575" b="190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bookmarkStart w:id="17" w:name="_Toc20816"/>
      <w:r>
        <w:rPr>
          <w:rFonts w:hint="eastAsia"/>
        </w:rPr>
        <w:t>隐藏必输项字段</w:t>
      </w:r>
      <w:bookmarkEnd w:id="17"/>
    </w:p>
    <w:p>
      <w:pPr>
        <w:pStyle w:val="4"/>
      </w:pPr>
      <w:bookmarkStart w:id="18" w:name="_Toc102"/>
      <w:r>
        <w:rPr>
          <w:rFonts w:hint="eastAsia"/>
        </w:rPr>
        <w:t>设备</w:t>
      </w:r>
      <w:bookmarkEnd w:id="18"/>
    </w:p>
    <w:p>
      <w:pPr>
        <w:pStyle w:val="3"/>
        <w:numPr>
          <w:ilvl w:val="0"/>
          <w:numId w:val="7"/>
        </w:numPr>
      </w:pPr>
      <w:r>
        <w:rPr>
          <w:rFonts w:hint="eastAsia"/>
        </w:rPr>
        <w:t>新增修改设备时：设备状态选择“已报废”，报废日期为必输项；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巡检/保养/校正周期选择非“无”时，周期为必输项</w:t>
      </w:r>
    </w:p>
    <w:p>
      <w:pPr>
        <w:pStyle w:val="4"/>
      </w:pPr>
      <w:bookmarkStart w:id="19" w:name="_Toc1599"/>
      <w:r>
        <w:rPr>
          <w:rFonts w:hint="eastAsia"/>
        </w:rPr>
        <w:t>作业报告/服务凭证</w:t>
      </w:r>
      <w:bookmarkEnd w:id="19"/>
    </w:p>
    <w:p>
      <w:pPr>
        <w:numPr>
          <w:ilvl w:val="0"/>
          <w:numId w:val="8"/>
        </w:numPr>
        <w:ind w:firstLine="480" w:firstLineChars="200"/>
      </w:pPr>
      <w:r>
        <w:rPr>
          <w:rFonts w:hint="eastAsia"/>
        </w:rPr>
        <w:t>填写/审批作业报告时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维修作业报告类型：管理员在设备响应时间内未响应派工单，误工说明字段为必输项；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保养作业报告类型：作业报告结果为待第三方支持，服务提供方选择非“管理方”时，附件为必输项；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强检作业报告类型：专用报告选择“是”时，附件为必输项</w:t>
      </w:r>
    </w:p>
    <w:p>
      <w:pPr>
        <w:pStyle w:val="2"/>
      </w:pPr>
      <w:bookmarkStart w:id="20" w:name="_Toc20438"/>
      <w:r>
        <w:t>超期条件</w:t>
      </w:r>
      <w:bookmarkEnd w:id="20"/>
    </w:p>
    <w:p>
      <w:pPr>
        <w:numPr>
          <w:ilvl w:val="0"/>
          <w:numId w:val="10"/>
        </w:numPr>
      </w:pPr>
      <w:r>
        <w:t>请求</w:t>
      </w:r>
      <w:r>
        <w:rPr>
          <w:rFonts w:hint="eastAsia"/>
        </w:rPr>
        <w:t>大于</w:t>
      </w:r>
      <w:r>
        <w:t>18天未结束</w:t>
      </w:r>
    </w:p>
    <w:p>
      <w:pPr>
        <w:numPr>
          <w:ilvl w:val="0"/>
          <w:numId w:val="10"/>
        </w:numPr>
      </w:pPr>
      <w:r>
        <w:t>请求在设备响应时间内未有响应操作</w:t>
      </w:r>
    </w:p>
    <w:p>
      <w:pPr>
        <w:pStyle w:val="3"/>
        <w:numPr>
          <w:ilvl w:val="0"/>
          <w:numId w:val="10"/>
        </w:numPr>
      </w:pPr>
      <w:r>
        <w:t>只</w:t>
      </w:r>
      <w:r>
        <w:rPr>
          <w:rFonts w:hint="eastAsia"/>
        </w:rPr>
        <w:t>有维修</w:t>
      </w:r>
      <w:r>
        <w:t>类型</w:t>
      </w:r>
      <w:r>
        <w:rPr>
          <w:rFonts w:hint="eastAsia"/>
        </w:rPr>
        <w:t>请求才会超期</w:t>
      </w:r>
    </w:p>
    <w:p>
      <w:pPr>
        <w:pStyle w:val="2"/>
      </w:pPr>
      <w:bookmarkStart w:id="21" w:name="_Toc25694"/>
      <w:r>
        <w:rPr>
          <w:rFonts w:hint="eastAsia"/>
        </w:rPr>
        <w:t>Dashboard页面</w:t>
      </w:r>
      <w:bookmarkEnd w:id="21"/>
    </w:p>
    <w:p>
      <w:pPr>
        <w:numPr>
          <w:ilvl w:val="0"/>
          <w:numId w:val="11"/>
        </w:numPr>
        <w:ind w:firstLine="480" w:firstLineChars="200"/>
      </w:pPr>
      <w:r>
        <w:rPr>
          <w:rFonts w:hint="eastAsia"/>
        </w:rPr>
        <w:t>开机率：设备使用状态启用数量/设备总数量</w:t>
      </w:r>
    </w:p>
    <w:p>
      <w:pPr>
        <w:numPr>
          <w:ilvl w:val="0"/>
          <w:numId w:val="11"/>
        </w:numPr>
        <w:ind w:firstLine="480" w:firstLineChars="200"/>
      </w:pPr>
      <w:r>
        <w:rPr>
          <w:rFonts w:hint="eastAsia"/>
        </w:rPr>
        <w:t>校准率/保养率/巡检率：本月计划件数及已完成件数包含请求来源为计划服务的请求数</w:t>
      </w:r>
    </w:p>
    <w:p>
      <w:pPr>
        <w:ind w:left="480" w:leftChars="200"/>
      </w:pPr>
      <w:r>
        <w:drawing>
          <wp:inline distT="0" distB="0" distL="114300" distR="114300">
            <wp:extent cx="4499610" cy="2315210"/>
            <wp:effectExtent l="9525" t="9525" r="24765" b="184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315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80" w:firstLineChars="200"/>
      </w:pPr>
      <w:r>
        <w:rPr>
          <w:rFonts w:hint="eastAsia"/>
        </w:rPr>
        <w:t>今日总报修：当日报修的维修请求数量</w:t>
      </w:r>
    </w:p>
    <w:p>
      <w:pPr>
        <w:ind w:left="480" w:leftChars="200"/>
      </w:pPr>
      <w:r>
        <w:drawing>
          <wp:inline distT="0" distB="0" distL="114300" distR="114300">
            <wp:extent cx="4475480" cy="1477010"/>
            <wp:effectExtent l="9525" t="9525" r="10795" b="184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147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80" w:firstLineChars="200"/>
      </w:pPr>
      <w:r>
        <w:rPr>
          <w:rFonts w:hint="eastAsia"/>
        </w:rPr>
        <w:t>科室总收入：显示所有科室总收入，若某科室当年没有收入/支出，则就没有收支差对照图；</w:t>
      </w:r>
    </w:p>
    <w:p>
      <w:pPr>
        <w:ind w:left="480" w:leftChars="200"/>
      </w:pPr>
      <w:r>
        <w:rPr>
          <w:rFonts w:hint="eastAsia"/>
        </w:rPr>
        <w:t>若科室超过20以上，下方会出现左右滑动滚动条。</w:t>
      </w:r>
    </w:p>
    <w:p>
      <w:pPr>
        <w:ind w:left="480" w:leftChars="200"/>
      </w:pPr>
      <w:r>
        <w:drawing>
          <wp:inline distT="0" distB="0" distL="114300" distR="114300">
            <wp:extent cx="4498340" cy="1216025"/>
            <wp:effectExtent l="9525" t="9525" r="26035" b="1270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21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80" w:firstLineChars="200"/>
      </w:pPr>
      <w:r>
        <w:rPr>
          <w:rFonts w:hint="eastAsia"/>
        </w:rPr>
        <w:t>设备总收入：显示某科室中设备收入，若某设备当年没有收入/支出，则就没有收支差对照图；</w:t>
      </w:r>
    </w:p>
    <w:p>
      <w:pPr>
        <w:ind w:left="480" w:leftChars="200"/>
      </w:pPr>
      <w:r>
        <w:drawing>
          <wp:inline distT="0" distB="0" distL="114300" distR="114300">
            <wp:extent cx="4515485" cy="1880235"/>
            <wp:effectExtent l="9525" t="9525" r="27940" b="1524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880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80" w:firstLineChars="200"/>
      </w:pPr>
      <w:r>
        <w:rPr>
          <w:rFonts w:hint="eastAsia"/>
        </w:rPr>
        <w:t>设备请求概况图：显示某设备的请求信息</w:t>
      </w:r>
    </w:p>
    <w:p>
      <w:pPr>
        <w:ind w:left="480" w:leftChars="200"/>
      </w:pPr>
      <w:r>
        <w:drawing>
          <wp:inline distT="0" distB="0" distL="114300" distR="114300">
            <wp:extent cx="4533265" cy="1945005"/>
            <wp:effectExtent l="9525" t="9525" r="10160" b="2667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945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5"/>
      <w:gridCol w:w="7637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c>
        <w:tcPr>
          <w:tcW w:w="885" w:type="dxa"/>
        </w:tcPr>
        <w:p>
          <w:pPr>
            <w:pStyle w:val="11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4F81BD"/>
              <w:sz w:val="32"/>
              <w:szCs w:val="32"/>
            </w:rPr>
            <w:t>10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7637" w:type="dxa"/>
        </w:tcPr>
        <w:p>
          <w:pPr>
            <w:pStyle w:val="11"/>
            <w:rPr>
              <w:b/>
            </w:rPr>
          </w:pPr>
          <w:r>
            <w:rPr>
              <w:rFonts w:hint="eastAsia"/>
              <w:b/>
            </w:rPr>
            <w:t xml:space="preserve"> </w:t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eastAsia="SimSun"/>
      </w:rPr>
    </w:pPr>
    <w:r>
      <w:rPr>
        <w:rFonts w:hint="eastAsia" w:eastAsia="SimSun"/>
      </w:rPr>
      <w:t>ATOI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AAA56"/>
    <w:multiLevelType w:val="singleLevel"/>
    <w:tmpl w:val="852AAA5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E4E32C28"/>
    <w:multiLevelType w:val="singleLevel"/>
    <w:tmpl w:val="E4E32C2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1BCE185"/>
    <w:multiLevelType w:val="singleLevel"/>
    <w:tmpl w:val="11BCE1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37063017"/>
    <w:multiLevelType w:val="multilevel"/>
    <w:tmpl w:val="37063017"/>
    <w:lvl w:ilvl="0" w:tentative="0">
      <w:start w:val="1"/>
      <w:numFmt w:val="bullet"/>
      <w:lvlText w:val=""/>
      <w:lvlJc w:val="left"/>
      <w:pPr>
        <w:ind w:left="12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4">
    <w:nsid w:val="3BDBD7DE"/>
    <w:multiLevelType w:val="singleLevel"/>
    <w:tmpl w:val="3BDBD7D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404A1DC7"/>
    <w:multiLevelType w:val="multilevel"/>
    <w:tmpl w:val="404A1DC7"/>
    <w:lvl w:ilvl="0" w:tentative="0">
      <w:start w:val="1"/>
      <w:numFmt w:val="bullet"/>
      <w:lvlText w:val=""/>
      <w:lvlJc w:val="left"/>
      <w:pPr>
        <w:ind w:left="12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6">
    <w:nsid w:val="541E4F24"/>
    <w:multiLevelType w:val="multilevel"/>
    <w:tmpl w:val="541E4F24"/>
    <w:lvl w:ilvl="0" w:tentative="0">
      <w:start w:val="1"/>
      <w:numFmt w:val="decimal"/>
      <w:pStyle w:val="2"/>
      <w:lvlText w:val="%1.  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ind w:left="88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49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4DB1972"/>
    <w:multiLevelType w:val="multilevel"/>
    <w:tmpl w:val="54DB1972"/>
    <w:lvl w:ilvl="0" w:tentative="0">
      <w:start w:val="1"/>
      <w:numFmt w:val="bullet"/>
      <w:lvlText w:val=""/>
      <w:lvlJc w:val="left"/>
      <w:pPr>
        <w:ind w:left="113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98" w:hanging="360"/>
      </w:pPr>
      <w:rPr>
        <w:rFonts w:hint="default" w:ascii="Wingdings" w:hAnsi="Wingdings"/>
      </w:rPr>
    </w:lvl>
  </w:abstractNum>
  <w:abstractNum w:abstractNumId="8">
    <w:nsid w:val="5E946BCE"/>
    <w:multiLevelType w:val="singleLevel"/>
    <w:tmpl w:val="5E946BC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74785000"/>
    <w:multiLevelType w:val="singleLevel"/>
    <w:tmpl w:val="747850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B491E52"/>
    <w:multiLevelType w:val="singleLevel"/>
    <w:tmpl w:val="7B491E5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18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34E82"/>
    <w:rsid w:val="0000073D"/>
    <w:rsid w:val="00000D0D"/>
    <w:rsid w:val="00001BF3"/>
    <w:rsid w:val="00003346"/>
    <w:rsid w:val="000050BF"/>
    <w:rsid w:val="00012551"/>
    <w:rsid w:val="000158F1"/>
    <w:rsid w:val="00022C50"/>
    <w:rsid w:val="000237F6"/>
    <w:rsid w:val="00026F7F"/>
    <w:rsid w:val="000273FA"/>
    <w:rsid w:val="00027F94"/>
    <w:rsid w:val="00032E86"/>
    <w:rsid w:val="00033440"/>
    <w:rsid w:val="00037B0D"/>
    <w:rsid w:val="00042AAD"/>
    <w:rsid w:val="0004489C"/>
    <w:rsid w:val="00050796"/>
    <w:rsid w:val="000507A7"/>
    <w:rsid w:val="00052281"/>
    <w:rsid w:val="00053DE4"/>
    <w:rsid w:val="00055181"/>
    <w:rsid w:val="00055588"/>
    <w:rsid w:val="00056C32"/>
    <w:rsid w:val="00062E5F"/>
    <w:rsid w:val="00064650"/>
    <w:rsid w:val="00064786"/>
    <w:rsid w:val="00064AAE"/>
    <w:rsid w:val="000660AE"/>
    <w:rsid w:val="000678A6"/>
    <w:rsid w:val="00075068"/>
    <w:rsid w:val="00076395"/>
    <w:rsid w:val="00077420"/>
    <w:rsid w:val="000839E0"/>
    <w:rsid w:val="00086A81"/>
    <w:rsid w:val="00091A63"/>
    <w:rsid w:val="00091F73"/>
    <w:rsid w:val="000924DD"/>
    <w:rsid w:val="00092D7D"/>
    <w:rsid w:val="000A0573"/>
    <w:rsid w:val="000A1BCB"/>
    <w:rsid w:val="000A3237"/>
    <w:rsid w:val="000A431F"/>
    <w:rsid w:val="000A4FDF"/>
    <w:rsid w:val="000A5A92"/>
    <w:rsid w:val="000A7C1B"/>
    <w:rsid w:val="000B6B3F"/>
    <w:rsid w:val="000C118E"/>
    <w:rsid w:val="000C4003"/>
    <w:rsid w:val="000E110D"/>
    <w:rsid w:val="000E42F3"/>
    <w:rsid w:val="000F1460"/>
    <w:rsid w:val="0010074C"/>
    <w:rsid w:val="0010250F"/>
    <w:rsid w:val="001047B7"/>
    <w:rsid w:val="00122CE0"/>
    <w:rsid w:val="00126FB1"/>
    <w:rsid w:val="001346CB"/>
    <w:rsid w:val="00135922"/>
    <w:rsid w:val="00137BCB"/>
    <w:rsid w:val="001453B8"/>
    <w:rsid w:val="001469BC"/>
    <w:rsid w:val="00151B57"/>
    <w:rsid w:val="00153621"/>
    <w:rsid w:val="0016438E"/>
    <w:rsid w:val="00165A0F"/>
    <w:rsid w:val="00165EC6"/>
    <w:rsid w:val="00177E13"/>
    <w:rsid w:val="001822B5"/>
    <w:rsid w:val="00185CBB"/>
    <w:rsid w:val="001875D2"/>
    <w:rsid w:val="0019016E"/>
    <w:rsid w:val="0019034D"/>
    <w:rsid w:val="001A2E97"/>
    <w:rsid w:val="001A31B5"/>
    <w:rsid w:val="001A624C"/>
    <w:rsid w:val="001B0792"/>
    <w:rsid w:val="001B4597"/>
    <w:rsid w:val="001B7303"/>
    <w:rsid w:val="001C45A3"/>
    <w:rsid w:val="001C718B"/>
    <w:rsid w:val="001C7D08"/>
    <w:rsid w:val="001C7E6D"/>
    <w:rsid w:val="001D15D1"/>
    <w:rsid w:val="001D30A6"/>
    <w:rsid w:val="001D4A30"/>
    <w:rsid w:val="001E30B8"/>
    <w:rsid w:val="001E7BE4"/>
    <w:rsid w:val="001E7DB4"/>
    <w:rsid w:val="001F57FD"/>
    <w:rsid w:val="001F6DD9"/>
    <w:rsid w:val="00203574"/>
    <w:rsid w:val="002071B4"/>
    <w:rsid w:val="002102AB"/>
    <w:rsid w:val="00210A90"/>
    <w:rsid w:val="002161BF"/>
    <w:rsid w:val="002209EC"/>
    <w:rsid w:val="002238E4"/>
    <w:rsid w:val="002254F2"/>
    <w:rsid w:val="00230A67"/>
    <w:rsid w:val="00230BC1"/>
    <w:rsid w:val="00251E77"/>
    <w:rsid w:val="00256DF4"/>
    <w:rsid w:val="00262D10"/>
    <w:rsid w:val="00275167"/>
    <w:rsid w:val="00283595"/>
    <w:rsid w:val="002845E5"/>
    <w:rsid w:val="00286470"/>
    <w:rsid w:val="002929D7"/>
    <w:rsid w:val="0029499A"/>
    <w:rsid w:val="002A2740"/>
    <w:rsid w:val="002A3C65"/>
    <w:rsid w:val="002A4608"/>
    <w:rsid w:val="002B0E92"/>
    <w:rsid w:val="002B6C1F"/>
    <w:rsid w:val="002C5EF0"/>
    <w:rsid w:val="002C6C6E"/>
    <w:rsid w:val="002D1917"/>
    <w:rsid w:val="002D5342"/>
    <w:rsid w:val="002D5D24"/>
    <w:rsid w:val="002D6127"/>
    <w:rsid w:val="002D65AB"/>
    <w:rsid w:val="002E3BA1"/>
    <w:rsid w:val="002E4227"/>
    <w:rsid w:val="002E55F2"/>
    <w:rsid w:val="002E6084"/>
    <w:rsid w:val="00302C7E"/>
    <w:rsid w:val="00305777"/>
    <w:rsid w:val="003074EC"/>
    <w:rsid w:val="00312A5A"/>
    <w:rsid w:val="00314D1F"/>
    <w:rsid w:val="00315A85"/>
    <w:rsid w:val="00322398"/>
    <w:rsid w:val="00326B7C"/>
    <w:rsid w:val="00330727"/>
    <w:rsid w:val="00330F61"/>
    <w:rsid w:val="003310B8"/>
    <w:rsid w:val="00336DF0"/>
    <w:rsid w:val="00347140"/>
    <w:rsid w:val="00352F38"/>
    <w:rsid w:val="00352FFC"/>
    <w:rsid w:val="0035300A"/>
    <w:rsid w:val="00353041"/>
    <w:rsid w:val="00353AEC"/>
    <w:rsid w:val="00356E09"/>
    <w:rsid w:val="00363DF7"/>
    <w:rsid w:val="003721AB"/>
    <w:rsid w:val="00374773"/>
    <w:rsid w:val="00382DEE"/>
    <w:rsid w:val="00385DC0"/>
    <w:rsid w:val="00390206"/>
    <w:rsid w:val="003921ED"/>
    <w:rsid w:val="00395C07"/>
    <w:rsid w:val="003A0848"/>
    <w:rsid w:val="003A113D"/>
    <w:rsid w:val="003A165F"/>
    <w:rsid w:val="003A3F06"/>
    <w:rsid w:val="003A48FC"/>
    <w:rsid w:val="003A69D8"/>
    <w:rsid w:val="003B53D1"/>
    <w:rsid w:val="003B583D"/>
    <w:rsid w:val="003C7047"/>
    <w:rsid w:val="003D364B"/>
    <w:rsid w:val="003D420A"/>
    <w:rsid w:val="003D6C54"/>
    <w:rsid w:val="003D7F94"/>
    <w:rsid w:val="003E73AC"/>
    <w:rsid w:val="003F294C"/>
    <w:rsid w:val="00410C06"/>
    <w:rsid w:val="004161B6"/>
    <w:rsid w:val="00416C6A"/>
    <w:rsid w:val="00422411"/>
    <w:rsid w:val="00422F1F"/>
    <w:rsid w:val="00425806"/>
    <w:rsid w:val="004258AE"/>
    <w:rsid w:val="004259AD"/>
    <w:rsid w:val="0042767D"/>
    <w:rsid w:val="004328BB"/>
    <w:rsid w:val="004334C3"/>
    <w:rsid w:val="00434B56"/>
    <w:rsid w:val="00435A75"/>
    <w:rsid w:val="004375B3"/>
    <w:rsid w:val="00446763"/>
    <w:rsid w:val="004534E8"/>
    <w:rsid w:val="004573EC"/>
    <w:rsid w:val="00460A0C"/>
    <w:rsid w:val="00465CFF"/>
    <w:rsid w:val="004667DF"/>
    <w:rsid w:val="00467306"/>
    <w:rsid w:val="00470DCB"/>
    <w:rsid w:val="0047477E"/>
    <w:rsid w:val="00474D0E"/>
    <w:rsid w:val="00475020"/>
    <w:rsid w:val="00475209"/>
    <w:rsid w:val="0047780D"/>
    <w:rsid w:val="0048277F"/>
    <w:rsid w:val="00491196"/>
    <w:rsid w:val="00497656"/>
    <w:rsid w:val="00497DD6"/>
    <w:rsid w:val="004A0E24"/>
    <w:rsid w:val="004A1B69"/>
    <w:rsid w:val="004A1C81"/>
    <w:rsid w:val="004B0582"/>
    <w:rsid w:val="004B3EE5"/>
    <w:rsid w:val="004B5C47"/>
    <w:rsid w:val="004B6E49"/>
    <w:rsid w:val="004C3B80"/>
    <w:rsid w:val="004C7567"/>
    <w:rsid w:val="004C7645"/>
    <w:rsid w:val="004D1C83"/>
    <w:rsid w:val="004D4045"/>
    <w:rsid w:val="004E00D6"/>
    <w:rsid w:val="004E0695"/>
    <w:rsid w:val="004E466F"/>
    <w:rsid w:val="004E7B72"/>
    <w:rsid w:val="004E7C4F"/>
    <w:rsid w:val="004F2DBA"/>
    <w:rsid w:val="004F362E"/>
    <w:rsid w:val="004F418C"/>
    <w:rsid w:val="004F4FF4"/>
    <w:rsid w:val="004F56DE"/>
    <w:rsid w:val="004F5EA3"/>
    <w:rsid w:val="004F7D48"/>
    <w:rsid w:val="00500062"/>
    <w:rsid w:val="00501167"/>
    <w:rsid w:val="005027E4"/>
    <w:rsid w:val="00504487"/>
    <w:rsid w:val="00506EB5"/>
    <w:rsid w:val="005077DB"/>
    <w:rsid w:val="0051001F"/>
    <w:rsid w:val="005113E3"/>
    <w:rsid w:val="00512E5F"/>
    <w:rsid w:val="00514CA5"/>
    <w:rsid w:val="005151A7"/>
    <w:rsid w:val="0051738D"/>
    <w:rsid w:val="00523C87"/>
    <w:rsid w:val="00530DD6"/>
    <w:rsid w:val="00534701"/>
    <w:rsid w:val="0054320C"/>
    <w:rsid w:val="005474FC"/>
    <w:rsid w:val="00550CFF"/>
    <w:rsid w:val="00552B34"/>
    <w:rsid w:val="005532DB"/>
    <w:rsid w:val="00560E8E"/>
    <w:rsid w:val="005616BD"/>
    <w:rsid w:val="00564E89"/>
    <w:rsid w:val="00571753"/>
    <w:rsid w:val="00572D99"/>
    <w:rsid w:val="00572DD2"/>
    <w:rsid w:val="00583F54"/>
    <w:rsid w:val="005855C6"/>
    <w:rsid w:val="0058574D"/>
    <w:rsid w:val="00586E67"/>
    <w:rsid w:val="00587C32"/>
    <w:rsid w:val="00593F9C"/>
    <w:rsid w:val="00595EDB"/>
    <w:rsid w:val="00596F14"/>
    <w:rsid w:val="00597737"/>
    <w:rsid w:val="005B04EB"/>
    <w:rsid w:val="005B2141"/>
    <w:rsid w:val="005B44E1"/>
    <w:rsid w:val="005C3859"/>
    <w:rsid w:val="005D5344"/>
    <w:rsid w:val="005D6369"/>
    <w:rsid w:val="005D6747"/>
    <w:rsid w:val="005D6BBE"/>
    <w:rsid w:val="005E0D5A"/>
    <w:rsid w:val="005E0EE3"/>
    <w:rsid w:val="0060018B"/>
    <w:rsid w:val="0060021D"/>
    <w:rsid w:val="006032A5"/>
    <w:rsid w:val="00603312"/>
    <w:rsid w:val="00605867"/>
    <w:rsid w:val="00613567"/>
    <w:rsid w:val="006144F6"/>
    <w:rsid w:val="00622C53"/>
    <w:rsid w:val="00624FD1"/>
    <w:rsid w:val="00626724"/>
    <w:rsid w:val="00627348"/>
    <w:rsid w:val="00627B56"/>
    <w:rsid w:val="00630AAB"/>
    <w:rsid w:val="00635825"/>
    <w:rsid w:val="00636A19"/>
    <w:rsid w:val="00636F37"/>
    <w:rsid w:val="00637D98"/>
    <w:rsid w:val="006442B0"/>
    <w:rsid w:val="006526B7"/>
    <w:rsid w:val="00654557"/>
    <w:rsid w:val="006605D0"/>
    <w:rsid w:val="00661C28"/>
    <w:rsid w:val="00670992"/>
    <w:rsid w:val="006709DD"/>
    <w:rsid w:val="006753F0"/>
    <w:rsid w:val="00683187"/>
    <w:rsid w:val="0068331C"/>
    <w:rsid w:val="006906C2"/>
    <w:rsid w:val="0069077F"/>
    <w:rsid w:val="00693560"/>
    <w:rsid w:val="00693B56"/>
    <w:rsid w:val="006A1591"/>
    <w:rsid w:val="006B347F"/>
    <w:rsid w:val="006B43E3"/>
    <w:rsid w:val="006C10B0"/>
    <w:rsid w:val="006C354F"/>
    <w:rsid w:val="006C4E46"/>
    <w:rsid w:val="006C6EBE"/>
    <w:rsid w:val="006D213B"/>
    <w:rsid w:val="006D3E94"/>
    <w:rsid w:val="006D4A9E"/>
    <w:rsid w:val="006D50F7"/>
    <w:rsid w:val="006D7CC8"/>
    <w:rsid w:val="006E02DF"/>
    <w:rsid w:val="006E714A"/>
    <w:rsid w:val="006E74CA"/>
    <w:rsid w:val="006F12E7"/>
    <w:rsid w:val="006F168B"/>
    <w:rsid w:val="006F1FE0"/>
    <w:rsid w:val="006F2A04"/>
    <w:rsid w:val="006F2D6E"/>
    <w:rsid w:val="006F3FDF"/>
    <w:rsid w:val="006F7035"/>
    <w:rsid w:val="006F7124"/>
    <w:rsid w:val="00704D07"/>
    <w:rsid w:val="00704EE9"/>
    <w:rsid w:val="00707189"/>
    <w:rsid w:val="0071076D"/>
    <w:rsid w:val="00712FB5"/>
    <w:rsid w:val="00715CF6"/>
    <w:rsid w:val="00720811"/>
    <w:rsid w:val="007217C5"/>
    <w:rsid w:val="0072314F"/>
    <w:rsid w:val="007240ED"/>
    <w:rsid w:val="00727B59"/>
    <w:rsid w:val="00727D33"/>
    <w:rsid w:val="00731F1C"/>
    <w:rsid w:val="00733992"/>
    <w:rsid w:val="007358DB"/>
    <w:rsid w:val="00744D61"/>
    <w:rsid w:val="00750082"/>
    <w:rsid w:val="00751017"/>
    <w:rsid w:val="007538F1"/>
    <w:rsid w:val="0075649F"/>
    <w:rsid w:val="007573C9"/>
    <w:rsid w:val="00757B65"/>
    <w:rsid w:val="00761E3C"/>
    <w:rsid w:val="007620A3"/>
    <w:rsid w:val="00762CF4"/>
    <w:rsid w:val="00763A71"/>
    <w:rsid w:val="0076432F"/>
    <w:rsid w:val="007655B2"/>
    <w:rsid w:val="00765665"/>
    <w:rsid w:val="0077088E"/>
    <w:rsid w:val="00772244"/>
    <w:rsid w:val="007734C9"/>
    <w:rsid w:val="00773AB1"/>
    <w:rsid w:val="00775887"/>
    <w:rsid w:val="00782467"/>
    <w:rsid w:val="0078264C"/>
    <w:rsid w:val="00787B33"/>
    <w:rsid w:val="007917DE"/>
    <w:rsid w:val="0079456B"/>
    <w:rsid w:val="00796957"/>
    <w:rsid w:val="007A2735"/>
    <w:rsid w:val="007A2A04"/>
    <w:rsid w:val="007A3EE2"/>
    <w:rsid w:val="007A4615"/>
    <w:rsid w:val="007A73A4"/>
    <w:rsid w:val="007A7442"/>
    <w:rsid w:val="007B7FB2"/>
    <w:rsid w:val="007C0DC4"/>
    <w:rsid w:val="007C1A85"/>
    <w:rsid w:val="007C6C72"/>
    <w:rsid w:val="007C6D7D"/>
    <w:rsid w:val="007D0F68"/>
    <w:rsid w:val="007D24C0"/>
    <w:rsid w:val="007D45D4"/>
    <w:rsid w:val="007D4EDA"/>
    <w:rsid w:val="007D6275"/>
    <w:rsid w:val="007E30C7"/>
    <w:rsid w:val="007E46FC"/>
    <w:rsid w:val="007E6A29"/>
    <w:rsid w:val="007F0A01"/>
    <w:rsid w:val="007F5464"/>
    <w:rsid w:val="0080006A"/>
    <w:rsid w:val="00806C91"/>
    <w:rsid w:val="00816A97"/>
    <w:rsid w:val="00820D7E"/>
    <w:rsid w:val="00822A36"/>
    <w:rsid w:val="0082622E"/>
    <w:rsid w:val="00826A04"/>
    <w:rsid w:val="008322B8"/>
    <w:rsid w:val="00837D54"/>
    <w:rsid w:val="00841165"/>
    <w:rsid w:val="00845B32"/>
    <w:rsid w:val="00846E46"/>
    <w:rsid w:val="008522A4"/>
    <w:rsid w:val="00862162"/>
    <w:rsid w:val="00866C15"/>
    <w:rsid w:val="00867B88"/>
    <w:rsid w:val="00867E22"/>
    <w:rsid w:val="008754AA"/>
    <w:rsid w:val="008761EC"/>
    <w:rsid w:val="008771B3"/>
    <w:rsid w:val="008803D7"/>
    <w:rsid w:val="008855DB"/>
    <w:rsid w:val="0089326E"/>
    <w:rsid w:val="008976EA"/>
    <w:rsid w:val="008A1374"/>
    <w:rsid w:val="008A1741"/>
    <w:rsid w:val="008A24EB"/>
    <w:rsid w:val="008A3351"/>
    <w:rsid w:val="008A6E4B"/>
    <w:rsid w:val="008B127C"/>
    <w:rsid w:val="008B1668"/>
    <w:rsid w:val="008B2FA6"/>
    <w:rsid w:val="008D0BE5"/>
    <w:rsid w:val="008D7FAD"/>
    <w:rsid w:val="008E3366"/>
    <w:rsid w:val="008E33F6"/>
    <w:rsid w:val="008E5361"/>
    <w:rsid w:val="008E79CA"/>
    <w:rsid w:val="008F16B3"/>
    <w:rsid w:val="008F1813"/>
    <w:rsid w:val="008F1CAC"/>
    <w:rsid w:val="008F3070"/>
    <w:rsid w:val="008F4578"/>
    <w:rsid w:val="008F5A70"/>
    <w:rsid w:val="008F613B"/>
    <w:rsid w:val="008F65DD"/>
    <w:rsid w:val="009008D6"/>
    <w:rsid w:val="009009F6"/>
    <w:rsid w:val="00901FF3"/>
    <w:rsid w:val="00905330"/>
    <w:rsid w:val="0090775D"/>
    <w:rsid w:val="009138A4"/>
    <w:rsid w:val="00916631"/>
    <w:rsid w:val="00920402"/>
    <w:rsid w:val="00923E2F"/>
    <w:rsid w:val="009253E2"/>
    <w:rsid w:val="00934E82"/>
    <w:rsid w:val="0093606F"/>
    <w:rsid w:val="009410A6"/>
    <w:rsid w:val="009428C8"/>
    <w:rsid w:val="0094368F"/>
    <w:rsid w:val="0094777B"/>
    <w:rsid w:val="0095198E"/>
    <w:rsid w:val="0096192C"/>
    <w:rsid w:val="00961C76"/>
    <w:rsid w:val="0096204D"/>
    <w:rsid w:val="009646D3"/>
    <w:rsid w:val="00964D3C"/>
    <w:rsid w:val="00973F68"/>
    <w:rsid w:val="009740C1"/>
    <w:rsid w:val="00975AF7"/>
    <w:rsid w:val="009836C3"/>
    <w:rsid w:val="009862CD"/>
    <w:rsid w:val="00990912"/>
    <w:rsid w:val="00993C3A"/>
    <w:rsid w:val="00994383"/>
    <w:rsid w:val="00996D18"/>
    <w:rsid w:val="009A312C"/>
    <w:rsid w:val="009A5492"/>
    <w:rsid w:val="009B2E1A"/>
    <w:rsid w:val="009B5DFE"/>
    <w:rsid w:val="009C01EC"/>
    <w:rsid w:val="009C315B"/>
    <w:rsid w:val="009D1BB1"/>
    <w:rsid w:val="009D6A49"/>
    <w:rsid w:val="009D7C51"/>
    <w:rsid w:val="009E155B"/>
    <w:rsid w:val="009E37C2"/>
    <w:rsid w:val="009E4130"/>
    <w:rsid w:val="009E7BB9"/>
    <w:rsid w:val="009F2164"/>
    <w:rsid w:val="009F38C1"/>
    <w:rsid w:val="009F4736"/>
    <w:rsid w:val="009F5255"/>
    <w:rsid w:val="009F5765"/>
    <w:rsid w:val="009F7FA9"/>
    <w:rsid w:val="00A02341"/>
    <w:rsid w:val="00A02D12"/>
    <w:rsid w:val="00A041AD"/>
    <w:rsid w:val="00A22130"/>
    <w:rsid w:val="00A23BB3"/>
    <w:rsid w:val="00A267BB"/>
    <w:rsid w:val="00A27866"/>
    <w:rsid w:val="00A3103B"/>
    <w:rsid w:val="00A32E36"/>
    <w:rsid w:val="00A35F92"/>
    <w:rsid w:val="00A3764C"/>
    <w:rsid w:val="00A40428"/>
    <w:rsid w:val="00A46E60"/>
    <w:rsid w:val="00A47DA7"/>
    <w:rsid w:val="00A5490B"/>
    <w:rsid w:val="00A55B95"/>
    <w:rsid w:val="00A7145E"/>
    <w:rsid w:val="00A77602"/>
    <w:rsid w:val="00A80CBB"/>
    <w:rsid w:val="00A81047"/>
    <w:rsid w:val="00A83980"/>
    <w:rsid w:val="00A84973"/>
    <w:rsid w:val="00A87DF1"/>
    <w:rsid w:val="00A9105E"/>
    <w:rsid w:val="00A942E1"/>
    <w:rsid w:val="00AA1BA2"/>
    <w:rsid w:val="00AA1E11"/>
    <w:rsid w:val="00AA6860"/>
    <w:rsid w:val="00AB105F"/>
    <w:rsid w:val="00AB663B"/>
    <w:rsid w:val="00AC1CA2"/>
    <w:rsid w:val="00AC4140"/>
    <w:rsid w:val="00AC5D06"/>
    <w:rsid w:val="00AD6A3C"/>
    <w:rsid w:val="00AF1A44"/>
    <w:rsid w:val="00AF4183"/>
    <w:rsid w:val="00B00073"/>
    <w:rsid w:val="00B02F57"/>
    <w:rsid w:val="00B0377B"/>
    <w:rsid w:val="00B03E2A"/>
    <w:rsid w:val="00B04FEA"/>
    <w:rsid w:val="00B1119C"/>
    <w:rsid w:val="00B12E2A"/>
    <w:rsid w:val="00B1490E"/>
    <w:rsid w:val="00B20A82"/>
    <w:rsid w:val="00B21CAE"/>
    <w:rsid w:val="00B24669"/>
    <w:rsid w:val="00B249BE"/>
    <w:rsid w:val="00B27C6A"/>
    <w:rsid w:val="00B30300"/>
    <w:rsid w:val="00B30AF8"/>
    <w:rsid w:val="00B4174B"/>
    <w:rsid w:val="00B44B3E"/>
    <w:rsid w:val="00B52278"/>
    <w:rsid w:val="00B569C3"/>
    <w:rsid w:val="00B655B6"/>
    <w:rsid w:val="00B664F7"/>
    <w:rsid w:val="00B712DD"/>
    <w:rsid w:val="00B71993"/>
    <w:rsid w:val="00B75CFB"/>
    <w:rsid w:val="00B76D59"/>
    <w:rsid w:val="00B83CC5"/>
    <w:rsid w:val="00B844CB"/>
    <w:rsid w:val="00B870E3"/>
    <w:rsid w:val="00B924EC"/>
    <w:rsid w:val="00B96B17"/>
    <w:rsid w:val="00B97528"/>
    <w:rsid w:val="00BA28D8"/>
    <w:rsid w:val="00BA3BCC"/>
    <w:rsid w:val="00BA5AAB"/>
    <w:rsid w:val="00BB1BBD"/>
    <w:rsid w:val="00BB30B1"/>
    <w:rsid w:val="00BB4C11"/>
    <w:rsid w:val="00BC5DC6"/>
    <w:rsid w:val="00BD06B8"/>
    <w:rsid w:val="00BD1FB2"/>
    <w:rsid w:val="00BD4B7C"/>
    <w:rsid w:val="00BD659D"/>
    <w:rsid w:val="00BE20C2"/>
    <w:rsid w:val="00BE7737"/>
    <w:rsid w:val="00BE7E82"/>
    <w:rsid w:val="00BF0519"/>
    <w:rsid w:val="00BF6D03"/>
    <w:rsid w:val="00BF7213"/>
    <w:rsid w:val="00C01254"/>
    <w:rsid w:val="00C05DC4"/>
    <w:rsid w:val="00C06ADA"/>
    <w:rsid w:val="00C07B71"/>
    <w:rsid w:val="00C13C44"/>
    <w:rsid w:val="00C13E85"/>
    <w:rsid w:val="00C16514"/>
    <w:rsid w:val="00C255F3"/>
    <w:rsid w:val="00C2646D"/>
    <w:rsid w:val="00C30055"/>
    <w:rsid w:val="00C31416"/>
    <w:rsid w:val="00C32B68"/>
    <w:rsid w:val="00C36579"/>
    <w:rsid w:val="00C372ED"/>
    <w:rsid w:val="00C403F3"/>
    <w:rsid w:val="00C42145"/>
    <w:rsid w:val="00C43502"/>
    <w:rsid w:val="00C43F1D"/>
    <w:rsid w:val="00C44555"/>
    <w:rsid w:val="00C47204"/>
    <w:rsid w:val="00C47A40"/>
    <w:rsid w:val="00C47B12"/>
    <w:rsid w:val="00C50CE5"/>
    <w:rsid w:val="00C5256B"/>
    <w:rsid w:val="00C536D9"/>
    <w:rsid w:val="00C54E63"/>
    <w:rsid w:val="00C54EE8"/>
    <w:rsid w:val="00C57DAC"/>
    <w:rsid w:val="00C62BDA"/>
    <w:rsid w:val="00C64362"/>
    <w:rsid w:val="00C65255"/>
    <w:rsid w:val="00C65E18"/>
    <w:rsid w:val="00C673B8"/>
    <w:rsid w:val="00C717CD"/>
    <w:rsid w:val="00C74618"/>
    <w:rsid w:val="00C74F32"/>
    <w:rsid w:val="00C75677"/>
    <w:rsid w:val="00C8006D"/>
    <w:rsid w:val="00C806E4"/>
    <w:rsid w:val="00C815DF"/>
    <w:rsid w:val="00C8167A"/>
    <w:rsid w:val="00C852EA"/>
    <w:rsid w:val="00C8620D"/>
    <w:rsid w:val="00C92232"/>
    <w:rsid w:val="00C92AC6"/>
    <w:rsid w:val="00C95F33"/>
    <w:rsid w:val="00CA5CAE"/>
    <w:rsid w:val="00CA631D"/>
    <w:rsid w:val="00CA6F85"/>
    <w:rsid w:val="00CB3C21"/>
    <w:rsid w:val="00CB7BF1"/>
    <w:rsid w:val="00CC42B7"/>
    <w:rsid w:val="00CC5014"/>
    <w:rsid w:val="00CC774D"/>
    <w:rsid w:val="00CC78FB"/>
    <w:rsid w:val="00CC7DCE"/>
    <w:rsid w:val="00CD4DD1"/>
    <w:rsid w:val="00CD6070"/>
    <w:rsid w:val="00CE5689"/>
    <w:rsid w:val="00CE5759"/>
    <w:rsid w:val="00CF3544"/>
    <w:rsid w:val="00CF4A34"/>
    <w:rsid w:val="00CF61BF"/>
    <w:rsid w:val="00CF6E23"/>
    <w:rsid w:val="00D01822"/>
    <w:rsid w:val="00D0210F"/>
    <w:rsid w:val="00D06F2E"/>
    <w:rsid w:val="00D07CE6"/>
    <w:rsid w:val="00D108AE"/>
    <w:rsid w:val="00D12C65"/>
    <w:rsid w:val="00D218B1"/>
    <w:rsid w:val="00D21C0D"/>
    <w:rsid w:val="00D24D7C"/>
    <w:rsid w:val="00D269BB"/>
    <w:rsid w:val="00D3406F"/>
    <w:rsid w:val="00D35648"/>
    <w:rsid w:val="00D466C3"/>
    <w:rsid w:val="00D4792B"/>
    <w:rsid w:val="00D70D33"/>
    <w:rsid w:val="00D75E43"/>
    <w:rsid w:val="00D81561"/>
    <w:rsid w:val="00D82068"/>
    <w:rsid w:val="00D8317E"/>
    <w:rsid w:val="00D96FFF"/>
    <w:rsid w:val="00DA2805"/>
    <w:rsid w:val="00DA284A"/>
    <w:rsid w:val="00DA327C"/>
    <w:rsid w:val="00DA736B"/>
    <w:rsid w:val="00DB2FB1"/>
    <w:rsid w:val="00DB516D"/>
    <w:rsid w:val="00DC3606"/>
    <w:rsid w:val="00DC7921"/>
    <w:rsid w:val="00DD35CC"/>
    <w:rsid w:val="00DD7A9B"/>
    <w:rsid w:val="00DE13F1"/>
    <w:rsid w:val="00DE1FAA"/>
    <w:rsid w:val="00DE2D0C"/>
    <w:rsid w:val="00DE3A3D"/>
    <w:rsid w:val="00DE4AD7"/>
    <w:rsid w:val="00DE4B5D"/>
    <w:rsid w:val="00DE5A34"/>
    <w:rsid w:val="00E03DA5"/>
    <w:rsid w:val="00E05298"/>
    <w:rsid w:val="00E07708"/>
    <w:rsid w:val="00E10A23"/>
    <w:rsid w:val="00E10B5A"/>
    <w:rsid w:val="00E1353C"/>
    <w:rsid w:val="00E13F80"/>
    <w:rsid w:val="00E21E9B"/>
    <w:rsid w:val="00E21ECD"/>
    <w:rsid w:val="00E22971"/>
    <w:rsid w:val="00E30708"/>
    <w:rsid w:val="00E331E9"/>
    <w:rsid w:val="00E3520A"/>
    <w:rsid w:val="00E429EE"/>
    <w:rsid w:val="00E477A2"/>
    <w:rsid w:val="00E51A62"/>
    <w:rsid w:val="00E55A6F"/>
    <w:rsid w:val="00E57DBE"/>
    <w:rsid w:val="00E64427"/>
    <w:rsid w:val="00E64559"/>
    <w:rsid w:val="00E77F27"/>
    <w:rsid w:val="00E836DC"/>
    <w:rsid w:val="00E838ED"/>
    <w:rsid w:val="00E84A66"/>
    <w:rsid w:val="00E92A5E"/>
    <w:rsid w:val="00E9538D"/>
    <w:rsid w:val="00E96FC7"/>
    <w:rsid w:val="00EA212A"/>
    <w:rsid w:val="00EA2939"/>
    <w:rsid w:val="00EA481E"/>
    <w:rsid w:val="00EA4ABE"/>
    <w:rsid w:val="00EA6E57"/>
    <w:rsid w:val="00EB0431"/>
    <w:rsid w:val="00EB0832"/>
    <w:rsid w:val="00EB6CDE"/>
    <w:rsid w:val="00EC0D01"/>
    <w:rsid w:val="00EC1D99"/>
    <w:rsid w:val="00EC3845"/>
    <w:rsid w:val="00EC5BAE"/>
    <w:rsid w:val="00EC5EA8"/>
    <w:rsid w:val="00EC6D81"/>
    <w:rsid w:val="00EC6E7A"/>
    <w:rsid w:val="00EC75D8"/>
    <w:rsid w:val="00ED1D47"/>
    <w:rsid w:val="00ED63BE"/>
    <w:rsid w:val="00EE1CDB"/>
    <w:rsid w:val="00EE623C"/>
    <w:rsid w:val="00EE748F"/>
    <w:rsid w:val="00EF39FC"/>
    <w:rsid w:val="00EF6E93"/>
    <w:rsid w:val="00F10212"/>
    <w:rsid w:val="00F12E36"/>
    <w:rsid w:val="00F241EA"/>
    <w:rsid w:val="00F31E04"/>
    <w:rsid w:val="00F364F4"/>
    <w:rsid w:val="00F40A1F"/>
    <w:rsid w:val="00F4359A"/>
    <w:rsid w:val="00F44850"/>
    <w:rsid w:val="00F557E6"/>
    <w:rsid w:val="00F55AA7"/>
    <w:rsid w:val="00F663A3"/>
    <w:rsid w:val="00F71B00"/>
    <w:rsid w:val="00F76902"/>
    <w:rsid w:val="00F772A1"/>
    <w:rsid w:val="00F7739E"/>
    <w:rsid w:val="00F77C32"/>
    <w:rsid w:val="00F822E7"/>
    <w:rsid w:val="00F83930"/>
    <w:rsid w:val="00F8594C"/>
    <w:rsid w:val="00F8798E"/>
    <w:rsid w:val="00F95A2D"/>
    <w:rsid w:val="00F95D56"/>
    <w:rsid w:val="00FA006C"/>
    <w:rsid w:val="00FA1A51"/>
    <w:rsid w:val="00FA4B16"/>
    <w:rsid w:val="00FB3F22"/>
    <w:rsid w:val="00FB5040"/>
    <w:rsid w:val="00FB51AE"/>
    <w:rsid w:val="00FC51DD"/>
    <w:rsid w:val="00FD6B5B"/>
    <w:rsid w:val="00FF089F"/>
    <w:rsid w:val="00FF0C7C"/>
    <w:rsid w:val="00FF0EDF"/>
    <w:rsid w:val="07EB1075"/>
    <w:rsid w:val="08BA2D3F"/>
    <w:rsid w:val="0F37233C"/>
    <w:rsid w:val="13357A4C"/>
    <w:rsid w:val="144469C1"/>
    <w:rsid w:val="14B8001C"/>
    <w:rsid w:val="16D1111B"/>
    <w:rsid w:val="19237FBB"/>
    <w:rsid w:val="1F162E76"/>
    <w:rsid w:val="23DF6E35"/>
    <w:rsid w:val="28BE662D"/>
    <w:rsid w:val="2C082670"/>
    <w:rsid w:val="2C5034E3"/>
    <w:rsid w:val="2D791A5E"/>
    <w:rsid w:val="2EA66F7D"/>
    <w:rsid w:val="302733B7"/>
    <w:rsid w:val="302E4549"/>
    <w:rsid w:val="329F744C"/>
    <w:rsid w:val="362A069C"/>
    <w:rsid w:val="37015E07"/>
    <w:rsid w:val="3AAC258E"/>
    <w:rsid w:val="3BDF5043"/>
    <w:rsid w:val="41BA3450"/>
    <w:rsid w:val="44C02199"/>
    <w:rsid w:val="496937E0"/>
    <w:rsid w:val="4FB611A4"/>
    <w:rsid w:val="534C7B24"/>
    <w:rsid w:val="57554DCB"/>
    <w:rsid w:val="5A041E69"/>
    <w:rsid w:val="5FC75F85"/>
    <w:rsid w:val="61495C53"/>
    <w:rsid w:val="62863AA0"/>
    <w:rsid w:val="628D519E"/>
    <w:rsid w:val="676B332D"/>
    <w:rsid w:val="682E14D1"/>
    <w:rsid w:val="70A53E4A"/>
    <w:rsid w:val="76FE3E92"/>
    <w:rsid w:val="78D90C4B"/>
    <w:rsid w:val="7C0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360" w:lineRule="auto"/>
      <w:jc w:val="both"/>
    </w:pPr>
    <w:rPr>
      <w:rFonts w:cs="Times New Roman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5"/>
    <w:qFormat/>
    <w:uiPriority w:val="9"/>
    <w:pPr>
      <w:numPr>
        <w:ilvl w:val="0"/>
        <w:numId w:val="1"/>
      </w:numPr>
      <w:ind w:left="363" w:firstLine="0"/>
      <w:outlineLvl w:val="0"/>
    </w:pPr>
    <w:rPr>
      <w:rFonts w:asciiTheme="majorHAnsi" w:hAnsiTheme="majorHAnsi"/>
      <w:b/>
      <w:kern w:val="44"/>
      <w:sz w:val="36"/>
    </w:rPr>
  </w:style>
  <w:style w:type="paragraph" w:styleId="4">
    <w:name w:val="heading 2"/>
    <w:basedOn w:val="3"/>
    <w:next w:val="1"/>
    <w:link w:val="26"/>
    <w:unhideWhenUsed/>
    <w:qFormat/>
    <w:uiPriority w:val="9"/>
    <w:pPr>
      <w:numPr>
        <w:ilvl w:val="1"/>
        <w:numId w:val="1"/>
      </w:numPr>
      <w:adjustRightInd w:val="0"/>
      <w:ind w:left="454" w:firstLine="0"/>
      <w:outlineLvl w:val="1"/>
    </w:pPr>
    <w:rPr>
      <w:rFonts w:asciiTheme="majorHAnsi" w:hAnsiTheme="majorHAnsi"/>
      <w:b/>
      <w:sz w:val="32"/>
    </w:rPr>
  </w:style>
  <w:style w:type="paragraph" w:styleId="5">
    <w:name w:val="heading 3"/>
    <w:basedOn w:val="3"/>
    <w:next w:val="1"/>
    <w:link w:val="27"/>
    <w:unhideWhenUsed/>
    <w:qFormat/>
    <w:uiPriority w:val="9"/>
    <w:pPr>
      <w:numPr>
        <w:ilvl w:val="2"/>
        <w:numId w:val="1"/>
      </w:numPr>
      <w:outlineLvl w:val="2"/>
    </w:pPr>
    <w:rPr>
      <w:rFonts w:asciiTheme="majorHAnsi" w:hAnsiTheme="majorHAnsi"/>
      <w:b/>
      <w:sz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ind w:left="720"/>
      <w:contextualSpacing/>
      <w:jc w:val="left"/>
    </w:pPr>
    <w:rPr>
      <w:rFonts w:cstheme="minorBidi"/>
      <w:kern w:val="0"/>
      <w:sz w:val="22"/>
      <w:szCs w:val="22"/>
    </w:rPr>
  </w:style>
  <w:style w:type="paragraph" w:styleId="6">
    <w:name w:val="Document Map"/>
    <w:basedOn w:val="1"/>
    <w:link w:val="2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lock Text"/>
    <w:basedOn w:val="1"/>
    <w:qFormat/>
    <w:uiPriority w:val="0"/>
    <w:pPr>
      <w:widowControl/>
      <w:autoSpaceDE w:val="0"/>
      <w:autoSpaceDN w:val="0"/>
      <w:adjustRightInd w:val="0"/>
      <w:ind w:left="720" w:right="180" w:rightChars="75"/>
      <w:jc w:val="left"/>
    </w:pPr>
    <w:rPr>
      <w:rFonts w:ascii="Arial" w:hAnsi="Arial" w:eastAsia="Times New Roman" w:cs="Arial"/>
      <w:kern w:val="0"/>
      <w:sz w:val="20"/>
      <w:szCs w:val="20"/>
    </w:rPr>
  </w:style>
  <w:style w:type="paragraph" w:styleId="8">
    <w:name w:val="toc 3"/>
    <w:basedOn w:val="1"/>
    <w:next w:val="1"/>
    <w:qFormat/>
    <w:uiPriority w:val="39"/>
    <w:pPr>
      <w:spacing w:after="100"/>
      <w:ind w:left="420"/>
    </w:pPr>
    <w:rPr>
      <w:sz w:val="22"/>
    </w:rPr>
  </w:style>
  <w:style w:type="paragraph" w:styleId="9">
    <w:name w:val="Date"/>
    <w:basedOn w:val="1"/>
    <w:next w:val="1"/>
    <w:link w:val="32"/>
    <w:qFormat/>
    <w:uiPriority w:val="0"/>
  </w:style>
  <w:style w:type="paragraph" w:styleId="10">
    <w:name w:val="Balloon Text"/>
    <w:basedOn w:val="1"/>
    <w:link w:val="24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/>
      <w:jc w:val="left"/>
    </w:pPr>
    <w:rPr>
      <w:rFonts w:cstheme="minorBidi"/>
      <w:kern w:val="0"/>
      <w:sz w:val="22"/>
      <w:szCs w:val="22"/>
    </w:rPr>
  </w:style>
  <w:style w:type="paragraph" w:styleId="14">
    <w:name w:val="toc 4"/>
    <w:basedOn w:val="1"/>
    <w:next w:val="1"/>
    <w:qFormat/>
    <w:uiPriority w:val="0"/>
    <w:pPr>
      <w:spacing w:after="100"/>
      <w:ind w:left="840"/>
    </w:pPr>
    <w:rPr>
      <w:sz w:val="22"/>
    </w:rPr>
  </w:style>
  <w:style w:type="paragraph" w:styleId="15">
    <w:name w:val="toc 2"/>
    <w:basedOn w:val="1"/>
    <w:next w:val="1"/>
    <w:qFormat/>
    <w:uiPriority w:val="39"/>
    <w:pPr>
      <w:spacing w:after="100"/>
      <w:ind w:left="210"/>
    </w:pPr>
    <w:rPr>
      <w:sz w:val="22"/>
    </w:rPr>
  </w:style>
  <w:style w:type="paragraph" w:styleId="1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Header Char"/>
    <w:basedOn w:val="19"/>
    <w:link w:val="12"/>
    <w:qFormat/>
    <w:uiPriority w:val="0"/>
    <w:rPr>
      <w:kern w:val="2"/>
      <w:sz w:val="18"/>
      <w:szCs w:val="18"/>
    </w:rPr>
  </w:style>
  <w:style w:type="character" w:customStyle="1" w:styleId="23">
    <w:name w:val="Footer Char"/>
    <w:basedOn w:val="19"/>
    <w:link w:val="11"/>
    <w:qFormat/>
    <w:uiPriority w:val="99"/>
    <w:rPr>
      <w:kern w:val="2"/>
      <w:sz w:val="18"/>
      <w:szCs w:val="18"/>
    </w:rPr>
  </w:style>
  <w:style w:type="character" w:customStyle="1" w:styleId="24">
    <w:name w:val="Balloon Text Char"/>
    <w:basedOn w:val="19"/>
    <w:link w:val="10"/>
    <w:qFormat/>
    <w:uiPriority w:val="0"/>
    <w:rPr>
      <w:rFonts w:ascii="Tahoma" w:hAnsi="Tahoma" w:cs="Tahoma"/>
      <w:kern w:val="2"/>
      <w:sz w:val="16"/>
      <w:szCs w:val="16"/>
    </w:rPr>
  </w:style>
  <w:style w:type="character" w:customStyle="1" w:styleId="25">
    <w:name w:val="Heading 1 Char"/>
    <w:basedOn w:val="19"/>
    <w:link w:val="2"/>
    <w:qFormat/>
    <w:uiPriority w:val="9"/>
    <w:rPr>
      <w:rFonts w:asciiTheme="majorHAnsi" w:hAnsiTheme="majorHAnsi" w:eastAsiaTheme="minorEastAsia" w:cstheme="minorBidi"/>
      <w:b/>
      <w:kern w:val="44"/>
      <w:sz w:val="36"/>
      <w:szCs w:val="22"/>
    </w:rPr>
  </w:style>
  <w:style w:type="character" w:customStyle="1" w:styleId="26">
    <w:name w:val="Heading 2 Char"/>
    <w:basedOn w:val="19"/>
    <w:link w:val="4"/>
    <w:qFormat/>
    <w:uiPriority w:val="9"/>
    <w:rPr>
      <w:rFonts w:asciiTheme="majorHAnsi" w:hAnsiTheme="majorHAnsi" w:eastAsiaTheme="minorEastAsia" w:cstheme="minorBidi"/>
      <w:b/>
      <w:sz w:val="32"/>
      <w:szCs w:val="22"/>
    </w:rPr>
  </w:style>
  <w:style w:type="character" w:customStyle="1" w:styleId="27">
    <w:name w:val="Heading 3 Char"/>
    <w:basedOn w:val="19"/>
    <w:link w:val="5"/>
    <w:qFormat/>
    <w:uiPriority w:val="9"/>
    <w:rPr>
      <w:rFonts w:asciiTheme="majorHAnsi" w:hAnsiTheme="majorHAnsi" w:cstheme="minorBidi"/>
      <w:b/>
      <w:sz w:val="28"/>
      <w:szCs w:val="22"/>
    </w:rPr>
  </w:style>
  <w:style w:type="paragraph" w:customStyle="1" w:styleId="28">
    <w:name w:val="TOC Heading1"/>
    <w:basedOn w:val="2"/>
    <w:next w:val="1"/>
    <w:unhideWhenUsed/>
    <w:qFormat/>
    <w:uiPriority w:val="39"/>
    <w:pPr>
      <w:numPr>
        <w:numId w:val="0"/>
      </w:numPr>
      <w:outlineLvl w:val="9"/>
    </w:pPr>
    <w:rPr>
      <w:lang w:eastAsia="en-US"/>
    </w:rPr>
  </w:style>
  <w:style w:type="character" w:customStyle="1" w:styleId="29">
    <w:name w:val="Document Map Char"/>
    <w:basedOn w:val="19"/>
    <w:link w:val="6"/>
    <w:qFormat/>
    <w:uiPriority w:val="0"/>
    <w:rPr>
      <w:rFonts w:ascii="Tahoma" w:hAnsi="Tahoma" w:cs="Tahoma"/>
      <w:kern w:val="2"/>
      <w:sz w:val="16"/>
      <w:szCs w:val="16"/>
    </w:rPr>
  </w:style>
  <w:style w:type="paragraph" w:customStyle="1" w:styleId="30">
    <w:name w:val="TOC Heading2"/>
    <w:basedOn w:val="2"/>
    <w:next w:val="1"/>
    <w:semiHidden/>
    <w:unhideWhenUsed/>
    <w:qFormat/>
    <w:uiPriority w:val="39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Cs/>
      <w:color w:val="366091" w:themeColor="accent1" w:themeShade="BF"/>
      <w:kern w:val="0"/>
      <w:sz w:val="28"/>
      <w:szCs w:val="28"/>
      <w:lang w:eastAsia="en-US"/>
    </w:rPr>
  </w:style>
  <w:style w:type="character" w:customStyle="1" w:styleId="31">
    <w:name w:val="third-party-productsmicrosoft-net-framework-46"/>
    <w:basedOn w:val="19"/>
    <w:qFormat/>
    <w:uiPriority w:val="0"/>
  </w:style>
  <w:style w:type="character" w:customStyle="1" w:styleId="32">
    <w:name w:val="Date Char"/>
    <w:basedOn w:val="19"/>
    <w:link w:val="9"/>
    <w:uiPriority w:val="0"/>
    <w:rPr>
      <w:rFonts w:asciiTheme="minorHAnsi" w:hAnsiTheme="minorHAnsi"/>
      <w:kern w:val="2"/>
      <w:sz w:val="28"/>
      <w:szCs w:val="24"/>
    </w:rPr>
  </w:style>
  <w:style w:type="paragraph" w:customStyle="1" w:styleId="33">
    <w:name w:val="gmail-m_6626958039721814928msolistparagraph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2D6D6-162A-434C-96D7-69F3EBA422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viscap</Company>
  <Pages>10</Pages>
  <Words>279</Words>
  <Characters>1591</Characters>
  <Lines>13</Lines>
  <Paragraphs>3</Paragraphs>
  <TotalTime>1</TotalTime>
  <ScaleCrop>false</ScaleCrop>
  <LinksUpToDate>false</LinksUpToDate>
  <CharactersWithSpaces>1867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2019-11-14T06:01:00Z</dcterms:created>
  <dc:creator>FtpDown</dc:creator>
  <cp:lastModifiedBy>lucy</cp:lastModifiedBy>
  <cp:lastPrinted>2014-04-23T01:31:00Z</cp:lastPrinted>
  <dcterms:modified xsi:type="dcterms:W3CDTF">2020-03-17T00:31:39Z</dcterms:modified>
  <dc:title>甲方：_____________(单位/公司)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