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B4913" w14:textId="77777777" w:rsidR="004B6C06" w:rsidRDefault="003E549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Gungsuh" w:eastAsia="Gungsuh" w:hAnsi="Gungsuh" w:cs="Gungsuh"/>
          <w:b/>
          <w:sz w:val="36"/>
          <w:szCs w:val="36"/>
          <w:highlight w:val="white"/>
        </w:rPr>
        <w:t>CGM演讲人信息表</w:t>
      </w:r>
    </w:p>
    <w:p w14:paraId="241F4395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5E707156" w14:textId="77777777" w:rsidR="004B6C06" w:rsidRDefault="003E5496">
      <w:pPr>
        <w:rPr>
          <w:rFonts w:ascii="Times New Roman" w:eastAsia="Times New Roman" w:hAnsi="Times New Roman" w:cs="Times New Roman"/>
          <w:b/>
          <w:color w:val="9900FF"/>
          <w:highlight w:val="white"/>
        </w:rPr>
      </w:pPr>
      <w:r>
        <w:rPr>
          <w:rFonts w:ascii="Gungsuh" w:eastAsia="Gungsuh" w:hAnsi="Gungsuh" w:cs="Gungsuh"/>
          <w:b/>
          <w:color w:val="9900FF"/>
          <w:highlight w:val="white"/>
        </w:rPr>
        <w:t>请在演讲日期前一周返还此表！简介和照片格式可参考</w:t>
      </w:r>
      <w:hyperlink r:id="rId7">
        <w:proofErr w:type="gramStart"/>
        <w:r>
          <w:rPr>
            <w:rFonts w:ascii="Times New Roman" w:eastAsia="Times New Roman" w:hAnsi="Times New Roman" w:cs="Times New Roman"/>
            <w:b/>
            <w:color w:val="1155CC"/>
            <w:highlight w:val="white"/>
            <w:u w:val="single"/>
          </w:rPr>
          <w:t>往期预告</w:t>
        </w:r>
        <w:proofErr w:type="gramEnd"/>
      </w:hyperlink>
      <w:r>
        <w:rPr>
          <w:rFonts w:ascii="Gungsuh" w:eastAsia="Gungsuh" w:hAnsi="Gungsuh" w:cs="Gungsuh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D1A7" w14:textId="5EBBB1BA" w:rsidR="004B6C06" w:rsidRPr="00CD6DC6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中文姓名：</w:t>
            </w:r>
            <w:r w:rsidR="00A60E5D" w:rsidRPr="00A60E5D">
              <w:rPr>
                <w:rFonts w:ascii="Gungsuh" w:hAnsi="Gungsuh" w:cs="Gungsuh" w:hint="eastAsia"/>
                <w:b/>
              </w:rPr>
              <w:t>刘永鑫</w:t>
            </w:r>
          </w:p>
        </w:tc>
      </w:tr>
      <w:tr w:rsidR="004B6C06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7F51" w14:textId="77777777" w:rsidR="004B6C06" w:rsidRDefault="003E5496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嘉宾简介：</w:t>
            </w: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（目前所在单位，教育工作经历等）</w:t>
            </w:r>
          </w:p>
          <w:p w14:paraId="12143A7E" w14:textId="0F5A9BDF" w:rsidR="004B6C06" w:rsidRDefault="00CD6DC6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</w:t>
            </w:r>
            <w:r w:rsidR="007B6DE5">
              <w:rPr>
                <w:rFonts w:ascii="Times New Roman" w:hAnsi="Times New Roman" w:cs="Times New Roman"/>
                <w:b/>
                <w:highlight w:val="white"/>
              </w:rPr>
              <w:t>20</w:t>
            </w:r>
            <w:r w:rsidR="00A60E5D">
              <w:rPr>
                <w:rFonts w:ascii="Times New Roman" w:hAnsi="Times New Roman" w:cs="Times New Roman"/>
                <w:b/>
                <w:highlight w:val="white"/>
              </w:rPr>
              <w:t>16</w:t>
            </w:r>
            <w:r w:rsidR="007B6DE5">
              <w:rPr>
                <w:rFonts w:ascii="Times New Roman" w:hAnsi="Times New Roman" w:cs="Times New Roman"/>
                <w:b/>
                <w:highlight w:val="white"/>
              </w:rPr>
              <w:t>-2020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 w:rsidR="00A60E5D">
              <w:rPr>
                <w:rFonts w:ascii="Times New Roman" w:hAnsi="Times New Roman" w:cs="Times New Roman" w:hint="eastAsia"/>
                <w:b/>
                <w:highlight w:val="white"/>
              </w:rPr>
              <w:t>中国科学院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A60E5D">
              <w:rPr>
                <w:rFonts w:ascii="Times New Roman" w:hAnsi="Times New Roman" w:cs="Times New Roman" w:hint="eastAsia"/>
                <w:b/>
                <w:highlight w:val="white"/>
              </w:rPr>
              <w:t>遗传与发育生物学研究所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A60E5D">
              <w:rPr>
                <w:rFonts w:ascii="Times New Roman" w:hAnsi="Times New Roman" w:cs="Times New Roman" w:hint="eastAsia"/>
                <w:b/>
                <w:highlight w:val="white"/>
              </w:rPr>
              <w:t>工程师</w:t>
            </w:r>
            <w:r w:rsidR="003F0E35">
              <w:rPr>
                <w:rFonts w:ascii="Times New Roman" w:hAnsi="Times New Roman" w:cs="Times New Roman" w:hint="eastAsia"/>
                <w:b/>
                <w:highlight w:val="white"/>
              </w:rPr>
              <w:t>，微生物组</w:t>
            </w:r>
          </w:p>
          <w:p w14:paraId="60EBB23A" w14:textId="30BEF3DA" w:rsidR="00A60E5D" w:rsidRDefault="00A60E5D" w:rsidP="00A60E5D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201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4</w:t>
            </w:r>
            <w:r>
              <w:rPr>
                <w:rFonts w:ascii="Times New Roman" w:hAnsi="Times New Roman" w:cs="Times New Roman"/>
                <w:b/>
                <w:highlight w:val="white"/>
              </w:rPr>
              <w:t>-20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15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中国科学院，遗传与发育生物学研究所，博士后</w:t>
            </w:r>
            <w:r w:rsidR="003F0E35">
              <w:rPr>
                <w:rFonts w:ascii="Times New Roman" w:hAnsi="Times New Roman" w:cs="Times New Roman" w:hint="eastAsia"/>
                <w:b/>
                <w:highlight w:val="white"/>
              </w:rPr>
              <w:t>，遗传学</w:t>
            </w:r>
          </w:p>
          <w:p w14:paraId="2D14B530" w14:textId="33DC55A5" w:rsidR="007B6DE5" w:rsidRDefault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2007-2011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中国科学院，遗传与发育生物学研究所，博士，生物信息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学</w:t>
            </w:r>
          </w:p>
          <w:p w14:paraId="6F17DBA6" w14:textId="09214863" w:rsidR="004B6C06" w:rsidRDefault="007B6DE5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200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8</w:t>
            </w:r>
            <w:r>
              <w:rPr>
                <w:rFonts w:ascii="Times New Roman" w:hAnsi="Times New Roman" w:cs="Times New Roman"/>
                <w:b/>
                <w:highlight w:val="white"/>
              </w:rPr>
              <w:t>-20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11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东北农业</w:t>
            </w:r>
            <w:r w:rsidR="002856DE">
              <w:rPr>
                <w:rFonts w:ascii="Times New Roman" w:hAnsi="Times New Roman" w:cs="Times New Roman"/>
                <w:b/>
                <w:highlight w:val="white"/>
              </w:rPr>
              <w:t>大学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，农学院，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硕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士，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作物遗传育种</w:t>
            </w:r>
          </w:p>
          <w:p w14:paraId="7401CE66" w14:textId="77777777" w:rsidR="00A60E5D" w:rsidRDefault="00A60E5D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200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4</w:t>
            </w:r>
            <w:r>
              <w:rPr>
                <w:rFonts w:ascii="Times New Roman" w:hAnsi="Times New Roman" w:cs="Times New Roman"/>
                <w:b/>
                <w:highlight w:val="white"/>
              </w:rPr>
              <w:t>-200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8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东北农业</w:t>
            </w:r>
            <w:r>
              <w:rPr>
                <w:rFonts w:ascii="Times New Roman" w:hAnsi="Times New Roman" w:cs="Times New Roman"/>
                <w:b/>
                <w:highlight w:val="white"/>
              </w:rPr>
              <w:t>大学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资源环境学院，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学士，</w:t>
            </w:r>
            <w:r w:rsidR="002856DE">
              <w:rPr>
                <w:rFonts w:ascii="Times New Roman" w:hAnsi="Times New Roman" w:cs="Times New Roman" w:hint="eastAsia"/>
                <w:b/>
                <w:highlight w:val="white"/>
              </w:rPr>
              <w:t>微生物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学</w:t>
            </w:r>
          </w:p>
          <w:p w14:paraId="446630B5" w14:textId="77777777" w:rsidR="000C40E4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A793E5A" w14:textId="7B18676B" w:rsidR="000C40E4" w:rsidRDefault="00BF5E4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642C0E">
              <w:rPr>
                <w:rFonts w:ascii="微软雅黑" w:eastAsia="微软雅黑" w:hAnsi="微软雅黑" w:cs="宋体" w:hint="eastAsia"/>
                <w:b/>
                <w:bCs/>
                <w:color w:val="24292E"/>
                <w:szCs w:val="21"/>
              </w:rPr>
              <w:t>刘永鑫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，博士。2008年毕业于东北农业大学微生物学专业，2014年于中科院遗传发育所获生物信息学博士学位，2016年博士后出站留所任宏基因组学实验室工程师。目前主要研究方向有微生物组数据</w:t>
            </w:r>
            <w:r>
              <w:rPr>
                <w:rFonts w:ascii="微软雅黑" w:eastAsia="微软雅黑" w:hAnsi="微软雅黑" w:cs="宋体" w:hint="eastAsia"/>
                <w:color w:val="24292E"/>
                <w:szCs w:val="21"/>
              </w:rPr>
              <w:t>挖掘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、分析方法开发和科学传播。目前以第一作者(</w:t>
            </w:r>
            <w:proofErr w:type="gramStart"/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含共同)</w:t>
            </w:r>
            <w:proofErr w:type="gramEnd"/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或微生物组数据分析负责人在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"https://mp.weixin.qq.com/s/KmMDEmptBKz8Fv7VSdz2Jg"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Science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3E1A40">
              <w:rPr>
                <w:rFonts w:ascii="微软雅黑" w:eastAsia="微软雅黑" w:hAnsi="微软雅黑" w:cs="宋体" w:hint="eastAsia"/>
                <w:i/>
                <w:iCs/>
                <w:color w:val="24292E"/>
                <w:szCs w:val="21"/>
              </w:rPr>
              <w:t>、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"https://mp.weixin.qq.com/s/s7Q1_MeodqJ0hjwDumeiXQ"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Nature Biotechnology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3E1A40">
              <w:rPr>
                <w:rFonts w:ascii="微软雅黑" w:eastAsia="微软雅黑" w:hAnsi="微软雅黑" w:cs="宋体" w:hint="eastAsia"/>
                <w:i/>
                <w:iCs/>
                <w:color w:val="24292E"/>
                <w:szCs w:val="21"/>
              </w:rPr>
              <w:t>、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"https://mp.weixin.qq.com/s/DgVe1VAZVqOMqCMuU3kEeQ"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Cell Host &amp; Microbe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 等杂志发表论文20余篇，引用</w:t>
            </w:r>
            <w:r>
              <w:rPr>
                <w:rFonts w:ascii="微软雅黑" w:eastAsia="微软雅黑" w:hAnsi="微软雅黑" w:cs="宋体" w:hint="eastAsia"/>
                <w:color w:val="24292E"/>
                <w:szCs w:val="21"/>
              </w:rPr>
              <w:t>1100余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次。参与</w:t>
            </w:r>
            <w:hyperlink r:id="rId8" w:tgtFrame="_blank" w:history="1">
              <w:r w:rsidRPr="00642C0E">
                <w:rPr>
                  <w:rFonts w:ascii="微软雅黑" w:eastAsia="微软雅黑" w:hAnsi="微软雅黑" w:cs="宋体" w:hint="eastAsia"/>
                  <w:color w:val="0366D6"/>
                  <w:szCs w:val="21"/>
                  <w:u w:val="single"/>
                </w:rPr>
                <w:t>微生物组分析平台</w:t>
              </w:r>
              <w:r w:rsidRPr="00642C0E">
                <w:rPr>
                  <w:rFonts w:ascii="微软雅黑" w:eastAsia="微软雅黑" w:hAnsi="微软雅黑" w:cs="宋体" w:hint="eastAsia"/>
                  <w:b/>
                  <w:bCs/>
                  <w:color w:val="0366D6"/>
                  <w:szCs w:val="21"/>
                </w:rPr>
                <w:t>QIIME 2</w:t>
              </w:r>
              <w:r w:rsidRPr="00642C0E">
                <w:rPr>
                  <w:rFonts w:ascii="微软雅黑" w:eastAsia="微软雅黑" w:hAnsi="微软雅黑" w:cs="宋体" w:hint="eastAsia"/>
                  <w:color w:val="0366D6"/>
                  <w:szCs w:val="21"/>
                  <w:u w:val="single"/>
                </w:rPr>
                <w:t>开发</w:t>
              </w:r>
            </w:hyperlink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。受邀以第一作者和/或通讯作者(</w:t>
            </w:r>
            <w:proofErr w:type="gramStart"/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含共同)</w:t>
            </w:r>
            <w:proofErr w:type="gramEnd"/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在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"https://doi.org/10.1007/s13238-020-00724-8"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Protein &amp; Cell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3E1A40">
              <w:rPr>
                <w:rFonts w:ascii="微软雅黑" w:eastAsia="微软雅黑" w:hAnsi="微软雅黑" w:cs="宋体" w:hint="eastAsia"/>
                <w:i/>
                <w:iCs/>
                <w:color w:val="24292E"/>
                <w:szCs w:val="21"/>
              </w:rPr>
              <w:t>、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"https://mp.weixin.qq.com/s/-gXoRIy6ZuEmHH6txH8txA"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Current Opinion in Microbiology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3E1A40">
              <w:rPr>
                <w:rFonts w:ascii="微软雅黑" w:eastAsia="微软雅黑" w:hAnsi="微软雅黑" w:cs="宋体" w:hint="eastAsia"/>
                <w:i/>
                <w:iCs/>
                <w:color w:val="24292E"/>
                <w:szCs w:val="21"/>
              </w:rPr>
              <w:t>、</w:t>
            </w:r>
            <w:r w:rsidRPr="003E1A40">
              <w:rPr>
                <w:i/>
                <w:iCs/>
              </w:rPr>
              <w:fldChar w:fldCharType="begin"/>
            </w:r>
            <w:r w:rsidRPr="003E1A40">
              <w:rPr>
                <w:i/>
                <w:iCs/>
              </w:rPr>
              <w:instrText xml:space="preserve"> HYPERLINK "https://mp.weixin.qq.com/s/3XFmRe4l2uZrHZexx0Ou-g" \t "_blank" </w:instrText>
            </w:r>
            <w:r w:rsidRPr="003E1A40">
              <w:rPr>
                <w:i/>
                <w:iCs/>
              </w:rPr>
              <w:fldChar w:fldCharType="separate"/>
            </w:r>
            <w:r w:rsidRPr="003E1A40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366D6"/>
                <w:szCs w:val="21"/>
              </w:rPr>
              <w:t>遗传</w:t>
            </w:r>
            <w:r w:rsidRPr="003E1A40">
              <w:rPr>
                <w:rFonts w:ascii="微软雅黑" w:eastAsia="微软雅黑" w:hAnsi="微软雅黑" w:cs="宋体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3E1A40">
              <w:rPr>
                <w:rFonts w:ascii="微软雅黑" w:eastAsia="微软雅黑" w:hAnsi="微软雅黑" w:cs="宋体" w:hint="eastAsia"/>
                <w:i/>
                <w:iCs/>
                <w:color w:val="24292E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24292E"/>
                <w:szCs w:val="21"/>
              </w:rPr>
              <w:t>等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杂志发表微生物组研究方法综述。2017年7月创办“宏基因组”公众号，目前分享本领域相关原创文章1</w:t>
            </w:r>
            <w:r>
              <w:rPr>
                <w:rFonts w:ascii="微软雅黑" w:eastAsia="微软雅黑" w:hAnsi="微软雅黑" w:cs="宋体" w:hint="eastAsia"/>
                <w:color w:val="24292E"/>
                <w:szCs w:val="21"/>
              </w:rPr>
              <w:t>9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00余篇，代表作品有</w:t>
            </w:r>
            <w:r>
              <w:fldChar w:fldCharType="begin"/>
            </w:r>
            <w:r>
              <w:instrText xml:space="preserve"> HYPERLINK "https://mp.weixin.qq.com/s/u7PQn2ilsgmA6Ayu-oP1tw" \t "_blank" </w:instrText>
            </w:r>
            <w:r>
              <w:fldChar w:fldCharType="separate"/>
            </w:r>
            <w:r w:rsidRPr="00642C0E">
              <w:rPr>
                <w:rFonts w:ascii="微软雅黑" w:eastAsia="微软雅黑" w:hAnsi="微软雅黑" w:cs="宋体" w:hint="eastAsia"/>
                <w:color w:val="0366D6"/>
                <w:szCs w:val="21"/>
                <w:u w:val="single"/>
              </w:rPr>
              <w:t>《微生物组图表解读、分析流程和统计绘图》</w:t>
            </w:r>
            <w:r>
              <w:rPr>
                <w:rFonts w:ascii="微软雅黑" w:eastAsia="微软雅黑" w:hAnsi="微软雅黑" w:cs="宋体"/>
                <w:color w:val="0366D6"/>
                <w:szCs w:val="21"/>
                <w:u w:val="single"/>
              </w:rPr>
              <w:fldChar w:fldCharType="end"/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、</w:t>
            </w:r>
            <w:hyperlink r:id="rId9" w:tgtFrame="_blank" w:history="1">
              <w:r w:rsidRPr="00642C0E">
                <w:rPr>
                  <w:rFonts w:ascii="微软雅黑" w:eastAsia="微软雅黑" w:hAnsi="微软雅黑" w:cs="宋体" w:hint="eastAsia"/>
                  <w:color w:val="0366D6"/>
                  <w:szCs w:val="21"/>
                  <w:u w:val="single"/>
                </w:rPr>
                <w:t>《QIIME2中文教程》</w:t>
              </w:r>
            </w:hyperlink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等系列，关注人数9万+，累计阅读1400万+</w:t>
            </w:r>
            <w:r w:rsidR="00CD4485">
              <w:rPr>
                <w:rFonts w:ascii="微软雅黑" w:eastAsia="微软雅黑" w:hAnsi="微软雅黑" w:cs="宋体" w:hint="eastAsia"/>
                <w:color w:val="24292E"/>
                <w:szCs w:val="21"/>
              </w:rPr>
              <w:t>，2020年6月发起</w:t>
            </w:r>
            <w:hyperlink r:id="rId10" w:history="1">
              <w:r w:rsidR="00CD4485" w:rsidRPr="00CD4485">
                <w:rPr>
                  <w:rStyle w:val="aa"/>
                  <w:rFonts w:ascii="微软雅黑" w:eastAsia="微软雅黑" w:hAnsi="微软雅黑" w:cs="宋体" w:hint="eastAsia"/>
                  <w:szCs w:val="21"/>
                </w:rPr>
                <w:t>宏基因组中文百科全书计划</w:t>
              </w:r>
            </w:hyperlink>
            <w:r w:rsidR="00CD4485">
              <w:rPr>
                <w:rFonts w:ascii="微软雅黑" w:eastAsia="微软雅黑" w:hAnsi="微软雅黑" w:cs="宋体" w:hint="eastAsia"/>
                <w:color w:val="24292E"/>
                <w:szCs w:val="21"/>
              </w:rPr>
              <w:t>，欢迎广大同行参与</w:t>
            </w:r>
            <w:r w:rsidRPr="00642C0E">
              <w:rPr>
                <w:rFonts w:ascii="微软雅黑" w:eastAsia="微软雅黑" w:hAnsi="微软雅黑" w:cs="宋体" w:hint="eastAsia"/>
                <w:color w:val="24292E"/>
                <w:szCs w:val="21"/>
              </w:rPr>
              <w:t>。</w:t>
            </w:r>
          </w:p>
          <w:p w14:paraId="0E77BBDF" w14:textId="1F6756CA" w:rsidR="000C40E4" w:rsidRPr="00A60E5D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Default="004B6C06">
            <w:pPr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</w:tr>
      <w:tr w:rsidR="004B6C06" w14:paraId="55A249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67DA" w14:textId="77777777" w:rsidR="004B6C06" w:rsidRDefault="003E5496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照片：</w:t>
            </w:r>
          </w:p>
          <w:p w14:paraId="2C0EFA3A" w14:textId="412603F5" w:rsidR="004B6C06" w:rsidRPr="007B6DE5" w:rsidRDefault="00A60E5D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642C0E">
              <w:rPr>
                <w:rFonts w:ascii="微软雅黑" w:eastAsia="微软雅黑" w:hAnsi="微软雅黑" w:cs="宋体"/>
                <w:noProof/>
                <w:color w:val="24292E"/>
                <w:szCs w:val="21"/>
              </w:rPr>
              <w:lastRenderedPageBreak/>
              <w:drawing>
                <wp:inline distT="0" distB="0" distL="0" distR="0" wp14:anchorId="6A729E1A" wp14:editId="5A6DBAB7">
                  <wp:extent cx="3329354" cy="3916982"/>
                  <wp:effectExtent l="0" t="0" r="4445" b="7620"/>
                  <wp:docPr id="2" name="图片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9" cy="394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14:paraId="61F48F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A12" w14:textId="7496AE0E" w:rsidR="004B6C06" w:rsidRPr="003F0E35" w:rsidRDefault="003E5496" w:rsidP="007B6DE5">
            <w:pPr>
              <w:rPr>
                <w:rFonts w:ascii="Times New Roman" w:hAnsi="Times New Roman" w:cs="Times New Roman"/>
                <w:b/>
                <w:iCs/>
                <w:color w:val="999999"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lastRenderedPageBreak/>
              <w:t>演讲题目：</w:t>
            </w:r>
            <w:r w:rsidR="003F0E35">
              <w:rPr>
                <w:rFonts w:ascii="Gungsuh" w:hAnsi="Gungsuh" w:cs="Gungsuh" w:hint="eastAsia"/>
                <w:b/>
                <w:iCs/>
                <w:highlight w:val="white"/>
              </w:rPr>
              <w:t>微生物组数据分析与可视化</w:t>
            </w:r>
          </w:p>
        </w:tc>
      </w:tr>
      <w:tr w:rsidR="004B6C06" w14:paraId="04E8549E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F3A" w14:textId="4E911FC1" w:rsidR="004B6C06" w:rsidRPr="007B6DE5" w:rsidRDefault="003E5496" w:rsidP="007B6DE5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关键词：</w:t>
            </w:r>
            <w:r w:rsidR="003F0E35">
              <w:rPr>
                <w:rFonts w:ascii="Gungsuh" w:hAnsi="Gungsuh" w:cs="Gungsuh" w:hint="eastAsia"/>
                <w:b/>
                <w:highlight w:val="white"/>
              </w:rPr>
              <w:t>扩增子</w:t>
            </w:r>
            <w:r w:rsidR="007B6DE5" w:rsidRP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3F0E35">
              <w:rPr>
                <w:rFonts w:ascii="Gungsuh" w:hAnsi="Gungsuh" w:cs="Gungsuh" w:hint="eastAsia"/>
                <w:b/>
                <w:highlight w:val="white"/>
              </w:rPr>
              <w:t>宏基因组</w:t>
            </w:r>
            <w:r w:rsidR="007B6DE5" w:rsidRP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3F0E35">
              <w:rPr>
                <w:rFonts w:ascii="Gungsuh" w:hAnsi="Gungsuh" w:cs="Gungsuh" w:hint="eastAsia"/>
                <w:b/>
                <w:highlight w:val="white"/>
              </w:rPr>
              <w:t>分析流程</w:t>
            </w:r>
            <w:r w:rsid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3F0E35">
              <w:rPr>
                <w:rFonts w:ascii="Gungsuh" w:hAnsi="Gungsuh" w:cs="Gungsuh" w:hint="eastAsia"/>
                <w:b/>
                <w:highlight w:val="white"/>
              </w:rPr>
              <w:t>统计分析与可视化</w:t>
            </w:r>
          </w:p>
        </w:tc>
      </w:tr>
      <w:tr w:rsidR="004B6C06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中文摘要</w:t>
            </w:r>
          </w:p>
          <w:p w14:paraId="717D4119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（尽量浅显易懂，字数不限）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64FA" w14:textId="2B60F92F" w:rsidR="00B204BA" w:rsidRDefault="00B204BA" w:rsidP="00BF5E4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3AF65BDF" wp14:editId="71D59FD1">
                  <wp:extent cx="4994275" cy="42729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427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54174" w14:textId="77777777" w:rsidR="00B204BA" w:rsidRDefault="00BF5E44" w:rsidP="00BF5E4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</w:t>
            </w:r>
          </w:p>
          <w:p w14:paraId="55577992" w14:textId="3C0624E7" w:rsidR="00BF5E44" w:rsidRPr="009938EC" w:rsidRDefault="00BF5E44" w:rsidP="00BF5E4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      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近年来高通量测序技术的发展，开发一系列适合微生物组研究的技术，快速推动了微生物</w:t>
            </w:r>
            <w:proofErr w:type="gramStart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组领域</w:t>
            </w:r>
            <w:proofErr w:type="gramEnd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的发展并积累了海量数据。而微生物组数据分析过程复杂、</w:t>
            </w:r>
            <w:r w:rsidR="0026433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软件和方法的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种类多样</w:t>
            </w:r>
            <w:r w:rsidR="0026433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让初涉本领域的同行</w:t>
            </w:r>
            <w:r w:rsidR="002B2D5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非常茫然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。本</w:t>
            </w:r>
            <w:r w:rsidR="002B2D5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次演讲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系统概述了微生物组常用测序技术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扩增子、宏基因组等方法的优缺点，方便同行根据科学问题快速选择合适的研究手段。同时</w:t>
            </w:r>
            <w:proofErr w:type="gramStart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在众种的</w:t>
            </w:r>
            <w:proofErr w:type="gramEnd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分析软件中，挑选主流软件</w:t>
            </w:r>
            <w:r w:rsidR="002B2D5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整合的分析流程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推荐给同行</w:t>
            </w:r>
            <w:r w:rsidR="002B2D5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，方便快速实现</w:t>
            </w:r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较优的扩增子和</w:t>
            </w:r>
            <w:proofErr w:type="gramStart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宏基因组</w:t>
            </w:r>
            <w:proofErr w:type="gramEnd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分析流程，对并常用软件和数据库进入介绍，方便同行选择和优化特征表。最后介绍基于特征表的微生物组下游通用统计分析和可视化方法，包括多样性、物种种组、网络分析、进化分析、机器学习、来源追溯等方法和常用可视化图表类型，帮助同行看懂图表并选择合适的</w:t>
            </w:r>
            <w:proofErr w:type="gramStart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方析方法</w:t>
            </w:r>
            <w:proofErr w:type="gramEnd"/>
            <w:r w:rsidRPr="009938EC">
              <w:rPr>
                <w:rFonts w:ascii="Times New Roman" w:eastAsia="宋体" w:hAnsi="Times New Roman" w:cs="Times New Roman"/>
                <w:color w:val="000000"/>
                <w:szCs w:val="21"/>
              </w:rPr>
              <w:t>和可视化方案。本文拟通过对当前微生物组主流分析方法的整理和总结，为同领域研究者更方便、灵活的开展数据分析，快速选择研究分析工具，高效挖掘数据背后的生物学意义提供参考，进一步推动微生物组研究在生物学领域的发展。</w:t>
            </w:r>
          </w:p>
          <w:p w14:paraId="6D3758AF" w14:textId="1A62A4C2" w:rsidR="004B6C06" w:rsidRPr="00BF5E44" w:rsidRDefault="004B6C06" w:rsidP="00353AC3">
            <w:pPr>
              <w:spacing w:line="360" w:lineRule="auto"/>
              <w:ind w:firstLineChars="200" w:firstLine="440"/>
              <w:rPr>
                <w:rFonts w:asciiTheme="minorEastAsia" w:hAnsiTheme="minorEastAsia" w:cs="Times New Roman"/>
                <w:highlight w:val="white"/>
              </w:rPr>
            </w:pPr>
          </w:p>
        </w:tc>
      </w:tr>
      <w:tr w:rsidR="004B6C06" w14:paraId="49B53D8C" w14:textId="77777777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C63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lastRenderedPageBreak/>
              <w:t>参考文献</w:t>
            </w: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（选填）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1F8D" w14:textId="77777777" w:rsidR="00D546D5" w:rsidRPr="00C851B9" w:rsidRDefault="00D546D5" w:rsidP="00D546D5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Segoe UI" w:hAnsi="Segoe UI" w:cs="Segoe UI"/>
                <w:sz w:val="18"/>
                <w:szCs w:val="18"/>
              </w:rPr>
            </w:pPr>
            <w:r w:rsidRPr="00C851B9">
              <w:rPr>
                <w:rFonts w:ascii="Segoe UI" w:hAnsi="Segoe UI" w:cs="Segoe UI"/>
                <w:b/>
                <w:bCs/>
                <w:sz w:val="18"/>
                <w:szCs w:val="18"/>
              </w:rPr>
              <w:t>Yong-Xin Liu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Yuan Qin, Tong Chen,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Meiping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Lu,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Xubo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Qian,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Xiaoxuan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Guo &amp; Yang Bai. A practical guide to amplicon and metagenomic analysis of microbiome data. </w:t>
            </w:r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Protein Cell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41, 1-16, doi:10.1007/s13238-020-00724-8 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2020</w:t>
            </w:r>
            <w:r>
              <w:rPr>
                <w:rFonts w:ascii="Segoe UI" w:hAnsi="Segoe UI" w:cs="Segoe UI"/>
                <w:sz w:val="18"/>
                <w:szCs w:val="18"/>
              </w:rPr>
              <w:t>).</w:t>
            </w:r>
          </w:p>
          <w:p w14:paraId="419848DA" w14:textId="77777777" w:rsidR="00D546D5" w:rsidRDefault="00D546D5" w:rsidP="00D546D5">
            <w:pPr>
              <w:autoSpaceDE w:val="0"/>
              <w:autoSpaceDN w:val="0"/>
              <w:adjustRightInd w:val="0"/>
              <w:ind w:left="284" w:hanging="284"/>
              <w:rPr>
                <w:rFonts w:ascii="Segoe UI" w:hAnsi="Segoe UI" w:cs="Segoe UI"/>
                <w:sz w:val="18"/>
                <w:szCs w:val="18"/>
              </w:rPr>
            </w:pPr>
            <w:r w:rsidRPr="00C851B9">
              <w:rPr>
                <w:rFonts w:ascii="Segoe UI" w:hAnsi="Segoe UI" w:cs="Segoe UI"/>
                <w:b/>
                <w:bCs/>
                <w:sz w:val="18"/>
                <w:szCs w:val="18"/>
              </w:rPr>
              <w:t>Yong-Xin Liu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Yuan Qin &amp; Yang Bai. Reductionist synthetic community approaches in root microbiome research. </w:t>
            </w:r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 xml:space="preserve">Current Opinion </w:t>
            </w: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Microbiolgy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49, 97-102, 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doi:10.1016/j.mib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>.2019.10.010 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2019</w:t>
            </w:r>
            <w:r>
              <w:rPr>
                <w:rFonts w:ascii="Segoe UI" w:hAnsi="Segoe UI" w:cs="Segoe UI"/>
                <w:sz w:val="18"/>
                <w:szCs w:val="18"/>
              </w:rPr>
              <w:t>).</w:t>
            </w:r>
          </w:p>
          <w:p w14:paraId="0A2FAADD" w14:textId="77777777" w:rsidR="00D546D5" w:rsidRDefault="00D546D5" w:rsidP="00D546D5">
            <w:pPr>
              <w:autoSpaceDE w:val="0"/>
              <w:autoSpaceDN w:val="0"/>
              <w:adjustRightInd w:val="0"/>
              <w:ind w:left="284" w:hanging="284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Jingying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Zhang, </w:t>
            </w:r>
            <w:r w:rsidRPr="00240401">
              <w:rPr>
                <w:rFonts w:ascii="Segoe UI" w:hAnsi="Segoe UI" w:cs="Segoe UI"/>
                <w:b/>
                <w:bCs/>
                <w:sz w:val="18"/>
                <w:szCs w:val="18"/>
              </w:rPr>
              <w:t>Yong-Xin Liu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Na Zhang, Bin Hu, Tao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Jin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Haoran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Xu, Yuan Qin,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Pengxu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Yan,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Xiaoning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Zhang,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Xiaoxuan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Guo, Jing Hui,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Shouyun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Cao, Xin Wang, Chao Wang, Hui Wang,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Baoyuan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Qu,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Guangyi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Fan,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Lixing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Yuan, Ruben Garrido-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Oter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Chengcai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Chu &amp; Yang Bai.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NRT1.1B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is associated with root microbiota composition and nitrogen use in field-grown rice. </w:t>
            </w:r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Nat</w:t>
            </w:r>
            <w:r>
              <w:rPr>
                <w:rFonts w:ascii="Segoe UI" w:hAnsi="Segoe UI" w:cs="Segoe UI" w:hint="eastAsia"/>
                <w:b/>
                <w:bCs/>
                <w:i/>
                <w:iCs/>
                <w:sz w:val="18"/>
                <w:szCs w:val="18"/>
              </w:rPr>
              <w:t>ure</w:t>
            </w:r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 xml:space="preserve"> Biotechnology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37, 676-684, doi:10.1038/s41587-019-0104-4 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2019</w:t>
            </w:r>
            <w:r>
              <w:rPr>
                <w:rFonts w:ascii="Segoe UI" w:hAnsi="Segoe UI" w:cs="Segoe UI"/>
                <w:sz w:val="18"/>
                <w:szCs w:val="18"/>
              </w:rPr>
              <w:t>).</w:t>
            </w:r>
          </w:p>
          <w:p w14:paraId="61BAA7B1" w14:textId="77777777" w:rsidR="00D546D5" w:rsidRDefault="00D546D5" w:rsidP="00D546D5">
            <w:pPr>
              <w:autoSpaceDE w:val="0"/>
              <w:autoSpaceDN w:val="0"/>
              <w:adjustRightInd w:val="0"/>
              <w:ind w:left="284" w:hanging="284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Ancheng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C. Huang, Ting Jiang, </w:t>
            </w:r>
            <w:r w:rsidRPr="00240401">
              <w:rPr>
                <w:rFonts w:ascii="Segoe UI" w:hAnsi="Segoe UI" w:cs="Segoe UI"/>
                <w:b/>
                <w:bCs/>
                <w:sz w:val="18"/>
                <w:szCs w:val="18"/>
              </w:rPr>
              <w:t>Yong-Xin Liu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Yue-Chen Bai, James Reed,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Baoyuan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Qu, Alain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Goossens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, Hans-Wilhelm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Nützmann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, Yang Bai &amp; Anne Osbourn. A specialized metabolic network selectively modulates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Arabidopsis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root microbiota. </w:t>
            </w:r>
            <w:r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Science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364, eaau6389, doi:10.1126/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science.aau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>6389 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2019</w:t>
            </w:r>
            <w:r>
              <w:rPr>
                <w:rFonts w:ascii="Segoe UI" w:hAnsi="Segoe UI" w:cs="Segoe UI"/>
                <w:sz w:val="18"/>
                <w:szCs w:val="18"/>
              </w:rPr>
              <w:t>).</w:t>
            </w:r>
          </w:p>
          <w:p w14:paraId="50C00F1C" w14:textId="77777777" w:rsidR="00D546D5" w:rsidRDefault="00D546D5" w:rsidP="00D546D5">
            <w:pPr>
              <w:autoSpaceDE w:val="0"/>
              <w:autoSpaceDN w:val="0"/>
              <w:adjustRightInd w:val="0"/>
              <w:ind w:left="284" w:hanging="284"/>
              <w:rPr>
                <w:rFonts w:ascii="Segoe UI" w:eastAsia="微软雅黑" w:hAnsi="Segoe UI" w:cs="Segoe UI"/>
                <w:sz w:val="18"/>
                <w:szCs w:val="18"/>
              </w:rPr>
            </w:pPr>
            <w:r w:rsidRPr="00C851B9">
              <w:rPr>
                <w:rFonts w:ascii="微软雅黑" w:eastAsia="微软雅黑" w:cs="微软雅黑" w:hint="eastAsia"/>
                <w:b/>
                <w:bCs/>
                <w:sz w:val="18"/>
                <w:szCs w:val="18"/>
              </w:rPr>
              <w:t>刘永鑫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Segoe UI" w:cs="微软雅黑" w:hint="eastAsia"/>
                <w:sz w:val="18"/>
                <w:szCs w:val="18"/>
              </w:rPr>
              <w:t>秦媛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Segoe UI" w:cs="微软雅黑" w:hint="eastAsia"/>
                <w:sz w:val="18"/>
                <w:szCs w:val="18"/>
              </w:rPr>
              <w:t>郭晓璇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 &amp; </w:t>
            </w:r>
            <w:r>
              <w:rPr>
                <w:rFonts w:ascii="微软雅黑" w:eastAsia="微软雅黑" w:hAnsi="Segoe UI" w:cs="微软雅黑" w:hint="eastAsia"/>
                <w:sz w:val="18"/>
                <w:szCs w:val="18"/>
              </w:rPr>
              <w:t>白洋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Segoe UI" w:cs="微软雅黑" w:hint="eastAsia"/>
                <w:sz w:val="18"/>
                <w:szCs w:val="18"/>
              </w:rPr>
              <w:t>微生物组数据分析方法与应用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Segoe UI" w:cs="微软雅黑" w:hint="eastAsia"/>
                <w:b/>
                <w:bCs/>
                <w:i/>
                <w:iCs/>
                <w:sz w:val="18"/>
                <w:szCs w:val="18"/>
              </w:rPr>
              <w:t>遗传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 xml:space="preserve"> 41, 845-826, doi:10.16288/j.yczz.19-222 (</w:t>
            </w:r>
            <w:r>
              <w:rPr>
                <w:rFonts w:ascii="Segoe UI" w:eastAsia="微软雅黑" w:hAnsi="Segoe UI" w:cs="Segoe UI"/>
                <w:b/>
                <w:bCs/>
                <w:sz w:val="18"/>
                <w:szCs w:val="18"/>
              </w:rPr>
              <w:t>2019</w:t>
            </w:r>
            <w:r>
              <w:rPr>
                <w:rFonts w:ascii="Segoe UI" w:eastAsia="微软雅黑" w:hAnsi="Segoe UI" w:cs="Segoe UI"/>
                <w:sz w:val="18"/>
                <w:szCs w:val="18"/>
              </w:rPr>
              <w:t>).</w:t>
            </w:r>
          </w:p>
          <w:p w14:paraId="2DBBA091" w14:textId="77777777" w:rsidR="007D5ABE" w:rsidRPr="00D546D5" w:rsidRDefault="007D5AB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04805122" w14:textId="6D2C65D0" w:rsidR="007D5ABE" w:rsidRDefault="007D5ABE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</w:tr>
    </w:tbl>
    <w:p w14:paraId="4907068A" w14:textId="77777777" w:rsidR="004B6C06" w:rsidRDefault="004B6C0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</w:p>
    <w:p w14:paraId="2D92BE71" w14:textId="77777777" w:rsidR="004B6C06" w:rsidRDefault="003E549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Gungsuh" w:eastAsia="Gungsuh" w:hAnsi="Gungsuh" w:cs="Gungsuh"/>
          <w:b/>
          <w:sz w:val="20"/>
          <w:szCs w:val="20"/>
          <w:highlight w:val="white"/>
        </w:rPr>
        <w:t>如需获取更多关于华人基因组学在线沙龙（CGM）的信息，</w:t>
      </w:r>
      <w:proofErr w:type="gramStart"/>
      <w:r>
        <w:rPr>
          <w:rFonts w:ascii="Gungsuh" w:eastAsia="Gungsuh" w:hAnsi="Gungsuh" w:cs="Gungsuh"/>
          <w:b/>
          <w:sz w:val="20"/>
          <w:szCs w:val="20"/>
          <w:highlight w:val="white"/>
        </w:rPr>
        <w:t>请访问</w:t>
      </w:r>
      <w:proofErr w:type="gramEnd"/>
      <w:r>
        <w:rPr>
          <w:rFonts w:ascii="Gungsuh" w:eastAsia="Gungsuh" w:hAnsi="Gungsuh" w:cs="Gungsuh"/>
          <w:b/>
          <w:sz w:val="20"/>
          <w:szCs w:val="20"/>
          <w:highlight w:val="white"/>
        </w:rPr>
        <w:t>我们的网站：</w:t>
      </w:r>
    </w:p>
    <w:p w14:paraId="71A0B483" w14:textId="77777777" w:rsidR="004B6C06" w:rsidRDefault="003E5496">
      <w:pPr>
        <w:rPr>
          <w:rFonts w:ascii="Times New Roman" w:eastAsia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>
        <w:fldChar w:fldCharType="begin"/>
      </w:r>
      <w:r>
        <w:instrText xml:space="preserve"> HYPERLINK "http://cgmonline.co/"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  <w:highlight w:val="white"/>
          <w:u w:val="single"/>
        </w:rPr>
        <w:t>http://cgmonline.co/</w:t>
      </w:r>
    </w:p>
    <w:p w14:paraId="3D3A0006" w14:textId="77777777" w:rsidR="004B6C06" w:rsidRDefault="003E549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fldChar w:fldCharType="end"/>
      </w:r>
      <w:r>
        <w:rPr>
          <w:rFonts w:ascii="Gungsuh" w:eastAsia="Gungsuh" w:hAnsi="Gungsuh" w:cs="Gungsuh"/>
          <w:b/>
          <w:sz w:val="20"/>
          <w:szCs w:val="20"/>
          <w:highlight w:val="white"/>
        </w:rPr>
        <w:t>如果您有任何问题或建议，请发邮件给我们，并请在标题注明【CGM】：</w:t>
      </w:r>
    </w:p>
    <w:p w14:paraId="751FB886" w14:textId="77777777" w:rsidR="004B6C06" w:rsidRDefault="003E549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155CC"/>
          <w:sz w:val="20"/>
          <w:szCs w:val="20"/>
          <w:u w:val="single"/>
        </w:rPr>
        <w:t>qxs718@gmail</w:t>
      </w:r>
      <w:r>
        <w:rPr>
          <w:rFonts w:ascii="Gungsuh" w:eastAsia="Gungsuh" w:hAnsi="Gungsuh" w:cs="Gungsuh"/>
          <w:b/>
          <w:color w:val="0000FF"/>
          <w:highlight w:val="white"/>
        </w:rPr>
        <w:t>，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highlight w:val="white"/>
            <w:u w:val="single"/>
          </w:rPr>
          <w:t>yangjl0930@gmail.com</w:t>
        </w:r>
      </w:hyperlink>
    </w:p>
    <w:p w14:paraId="5CF6DE6B" w14:textId="77777777" w:rsidR="004B6C06" w:rsidRDefault="004B6C0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5BFA4E3" w14:textId="77777777" w:rsidR="004B6C06" w:rsidRDefault="003E549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Gungsuh" w:eastAsia="Gungsuh" w:hAnsi="Gungsuh" w:cs="Gungsuh"/>
          <w:b/>
          <w:sz w:val="36"/>
          <w:szCs w:val="36"/>
          <w:highlight w:val="white"/>
        </w:rPr>
        <w:t>演讲注意事项</w:t>
      </w:r>
    </w:p>
    <w:p w14:paraId="24254F2A" w14:textId="77777777" w:rsidR="004B6C06" w:rsidRDefault="003E549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465AC8A9" w14:textId="77777777" w:rsidR="004B6C06" w:rsidRDefault="003E5496">
      <w:pPr>
        <w:numPr>
          <w:ilvl w:val="0"/>
          <w:numId w:val="1"/>
        </w:numPr>
        <w:rPr>
          <w:b/>
          <w:highlight w:val="white"/>
        </w:rPr>
      </w:pPr>
      <w:r>
        <w:rPr>
          <w:rFonts w:ascii="Gungsuh" w:eastAsia="Gungsuh" w:hAnsi="Gungsuh" w:cs="Gungsuh"/>
          <w:b/>
          <w:highlight w:val="yellow"/>
        </w:rPr>
        <w:t>演讲原则上使用中文</w:t>
      </w:r>
      <w:r>
        <w:rPr>
          <w:rFonts w:ascii="Gungsuh" w:eastAsia="Gungsuh" w:hAnsi="Gungsuh" w:cs="Gungsuh"/>
          <w:b/>
          <w:highlight w:val="white"/>
        </w:rPr>
        <w:t>，可以夹杂英文专业词汇 （如果受邀嘉宾有特殊背景，如出生在美国，可以用全英文讲解）。PPT一般是英文、中文均可。</w:t>
      </w:r>
    </w:p>
    <w:p w14:paraId="23D0E366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1FB07807" w14:textId="77777777" w:rsidR="004B6C06" w:rsidRDefault="003E5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请于正式直播时间前安排10-30分钟与活动主持人连线，调试直播软件以及确认幻灯片的正常播放。</w:t>
      </w:r>
    </w:p>
    <w:p w14:paraId="4FF97251" w14:textId="77777777" w:rsidR="004B6C06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2FA37C19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yellow"/>
        </w:rPr>
        <w:t>CGM每次直播时间原则为30分钟</w:t>
      </w:r>
      <w:r>
        <w:rPr>
          <w:rFonts w:ascii="Gungsuh" w:eastAsia="Gungsuh" w:hAnsi="Gungsuh" w:cs="Gungsuh"/>
          <w:b/>
          <w:highlight w:val="white"/>
        </w:rPr>
        <w:t xml:space="preserve">，请控制您的演讲时长（建议15 - </w:t>
      </w:r>
      <w:r>
        <w:rPr>
          <w:rFonts w:ascii="Times New Roman" w:eastAsia="Times New Roman" w:hAnsi="Times New Roman" w:cs="Times New Roman"/>
          <w:b/>
        </w:rPr>
        <w:t>20 min</w:t>
      </w:r>
      <w:r>
        <w:rPr>
          <w:rFonts w:ascii="Gungsuh" w:eastAsia="Gungsuh" w:hAnsi="Gungsuh" w:cs="Gungsuh"/>
          <w:b/>
          <w:highlight w:val="white"/>
        </w:rPr>
        <w:t>），以留出时间供大家提问讨论。</w:t>
      </w:r>
    </w:p>
    <w:p w14:paraId="2DDC896C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090D2DF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我们一般希望对讲座过程进行录像或直播，演讲过后会把录像在网上和大家共享。但我们完全尊重演讲人的意愿。如果因为数据未发表等原因不希望公开视频, 请提前告诉我们。</w:t>
      </w:r>
    </w:p>
    <w:p w14:paraId="4EF6784C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6071D9CB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关于时差： 请</w:t>
      </w:r>
      <w:proofErr w:type="gramStart"/>
      <w:r>
        <w:rPr>
          <w:rFonts w:ascii="Gungsuh" w:eastAsia="Gungsuh" w:hAnsi="Gungsuh" w:cs="Gungsuh"/>
          <w:b/>
          <w:highlight w:val="white"/>
        </w:rPr>
        <w:t>查看您</w:t>
      </w:r>
      <w:proofErr w:type="gramEnd"/>
      <w:r>
        <w:rPr>
          <w:rFonts w:ascii="Gungsuh" w:eastAsia="Gungsuh" w:hAnsi="Gungsuh" w:cs="Gungsuh"/>
          <w:b/>
          <w:highlight w:val="white"/>
        </w:rPr>
        <w:t>所在地区的时间和报告标准时间的时差</w:t>
      </w:r>
    </w:p>
    <w:p w14:paraId="0ABD326A" w14:textId="77777777" w:rsidR="004B6C06" w:rsidRDefault="005D7FF5">
      <w:pPr>
        <w:ind w:firstLine="720"/>
        <w:rPr>
          <w:rFonts w:ascii="Times New Roman" w:eastAsia="Times New Roman" w:hAnsi="Times New Roman" w:cs="Times New Roman"/>
          <w:b/>
          <w:highlight w:val="white"/>
        </w:rPr>
      </w:pPr>
      <w:hyperlink r:id="rId14">
        <w:r w:rsidR="003E5496">
          <w:rPr>
            <w:rFonts w:ascii="Times New Roman" w:eastAsia="Times New Roman" w:hAnsi="Times New Roman" w:cs="Times New Roman"/>
            <w:b/>
            <w:color w:val="1155CC"/>
            <w:highlight w:val="white"/>
            <w:u w:val="single"/>
          </w:rPr>
          <w:t>http://www.thetimezoneconverter.com/</w:t>
        </w:r>
      </w:hyperlink>
      <w:r w:rsidR="003E5496">
        <w:rPr>
          <w:rFonts w:ascii="Gungsuh" w:eastAsia="Gungsuh" w:hAnsi="Gungsuh" w:cs="Gungsuh"/>
          <w:b/>
          <w:highlight w:val="white"/>
        </w:rPr>
        <w:t>。</w:t>
      </w:r>
    </w:p>
    <w:p w14:paraId="1743D50B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2050B3E1" w14:textId="77777777" w:rsidR="004B6C06" w:rsidRDefault="003E549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我们希望您能考虑为我们推荐1-2演讲候选人。</w:t>
      </w:r>
    </w:p>
    <w:p w14:paraId="53119102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63F4E47F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4EED61F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19993204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再次感谢您的参与！</w:t>
      </w:r>
    </w:p>
    <w:p w14:paraId="25207342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68F28078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华人基因组学在线沙龙 （CGM）</w:t>
      </w:r>
    </w:p>
    <w:p w14:paraId="3A375F19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执行委员会</w:t>
      </w:r>
    </w:p>
    <w:p w14:paraId="7948244F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2020年</w:t>
      </w:r>
    </w:p>
    <w:p w14:paraId="5FA5EFEC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7BF20912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F52FDAA" w14:textId="77777777" w:rsidR="004B6C06" w:rsidRDefault="004B6C06">
      <w:pPr>
        <w:rPr>
          <w:rFonts w:ascii="Times New Roman" w:eastAsia="Times New Roman" w:hAnsi="Times New Roman" w:cs="Times New Roman"/>
          <w:b/>
        </w:rPr>
      </w:pPr>
    </w:p>
    <w:sectPr w:rsidR="004B6C06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C33E5" w14:textId="77777777" w:rsidR="005D7FF5" w:rsidRDefault="005D7FF5">
      <w:pPr>
        <w:spacing w:line="240" w:lineRule="auto"/>
      </w:pPr>
      <w:r>
        <w:separator/>
      </w:r>
    </w:p>
  </w:endnote>
  <w:endnote w:type="continuationSeparator" w:id="0">
    <w:p w14:paraId="47CFBCF3" w14:textId="77777777" w:rsidR="005D7FF5" w:rsidRDefault="005D7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E151" w14:textId="77777777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53A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87650" w14:textId="77777777" w:rsidR="005D7FF5" w:rsidRDefault="005D7FF5">
      <w:pPr>
        <w:spacing w:line="240" w:lineRule="auto"/>
      </w:pPr>
      <w:r>
        <w:separator/>
      </w:r>
    </w:p>
  </w:footnote>
  <w:footnote w:type="continuationSeparator" w:id="0">
    <w:p w14:paraId="36365610" w14:textId="77777777" w:rsidR="005D7FF5" w:rsidRDefault="005D7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5B1F1" w14:textId="77777777" w:rsidR="004B6C06" w:rsidRDefault="004B6C06"/>
  <w:p w14:paraId="18284F68" w14:textId="77777777" w:rsidR="004B6C06" w:rsidRDefault="003E5496">
    <w:pPr>
      <w:jc w:val="center"/>
    </w:pPr>
    <w:r>
      <w:rPr>
        <w:rFonts w:ascii="Times New Roman" w:eastAsia="Times New Roman" w:hAnsi="Times New Roman" w:cs="Times New Roman"/>
        <w:b/>
        <w:noProof/>
        <w:sz w:val="24"/>
        <w:szCs w:val="24"/>
        <w:highlight w:val="white"/>
        <w:lang w:val="en-US"/>
      </w:rPr>
      <w:drawing>
        <wp:inline distT="114300" distB="114300" distL="114300" distR="114300" wp14:anchorId="3F8D20D4" wp14:editId="24314CCB">
          <wp:extent cx="2262188" cy="107195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2188" cy="1071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0C40E4"/>
    <w:rsid w:val="000E46FC"/>
    <w:rsid w:val="0017136A"/>
    <w:rsid w:val="00264339"/>
    <w:rsid w:val="002856DE"/>
    <w:rsid w:val="002B2D5C"/>
    <w:rsid w:val="00353AC3"/>
    <w:rsid w:val="0038189B"/>
    <w:rsid w:val="003E5496"/>
    <w:rsid w:val="003F0E35"/>
    <w:rsid w:val="004B6C06"/>
    <w:rsid w:val="00526599"/>
    <w:rsid w:val="005D7FF5"/>
    <w:rsid w:val="00656360"/>
    <w:rsid w:val="00794EA6"/>
    <w:rsid w:val="007B6DE5"/>
    <w:rsid w:val="007D5ABE"/>
    <w:rsid w:val="00895BCF"/>
    <w:rsid w:val="00A60E5D"/>
    <w:rsid w:val="00AE3C6D"/>
    <w:rsid w:val="00B204BA"/>
    <w:rsid w:val="00BB337E"/>
    <w:rsid w:val="00BF5E44"/>
    <w:rsid w:val="00CD4485"/>
    <w:rsid w:val="00CD6DC6"/>
    <w:rsid w:val="00D546D5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_FHxF1XUBNF4qMV1HLPkg" TargetMode="External"/><Relationship Id="rId13" Type="http://schemas.openxmlformats.org/officeDocument/2006/relationships/hyperlink" Target="https://us15.admin.mailchimp.com/lists/members/view?id=32340857&amp;use_segment=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gmonline.co/wechat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p.weixin.qq.com/s/zaHjZLZCRcRgOXDgGT-mX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-_FHxF1XUBNF4qMV1HLPkg" TargetMode="External"/><Relationship Id="rId14" Type="http://schemas.openxmlformats.org/officeDocument/2006/relationships/hyperlink" Target="http://www.thetimezoneconverte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Liu Yong-Xin</cp:lastModifiedBy>
  <cp:revision>7</cp:revision>
  <dcterms:created xsi:type="dcterms:W3CDTF">2020-06-10T11:44:00Z</dcterms:created>
  <dcterms:modified xsi:type="dcterms:W3CDTF">2020-06-10T13:31:00Z</dcterms:modified>
</cp:coreProperties>
</file>