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项目经历 · 可直接写入简历</w:t>
      </w:r>
    </w:p>
    <w:p>
      <w:pPr>
        <w:spacing w:after="24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智枢 · 企业级 RAG 知识库问答系统</w:t>
      </w:r>
    </w:p>
    <w:p>
      <w:pPr>
        <w:pStyle w:val="Heading1"/>
        <w:spacing w:after="120" w:before="240"/>
      </w:pPr>
      <w:r>
        <w:t xml:space="preserve">一、项目概述</w:t>
      </w:r>
    </w:p>
    <w:p>
      <w:pPr>
        <w:spacing w:after="80"/>
      </w:pPr>
      <w:r>
        <w:t xml:space="preserve">面向企业私有化场景的 RAG 知识库问答平台：支持上传 PDF / Word / Markdown / TXT 等企业文档，经解析、分块、向量化入库后，以对话方式提供“带引用来源”的流式问答。模型完全本地运行（Ollama qwen3:4b / qwen3-embedding:4b），数据不出域、零 API 成本。本人从 0 到 1 完成后端架构设计与前端全栈交付。</w:t>
      </w:r>
    </w:p>
    <w:p>
      <w:pPr>
        <w:pStyle w:val="Heading1"/>
        <w:spacing w:after="120" w:before="240"/>
      </w:pPr>
      <w:r>
        <w:t xml:space="preserve">二、技术栈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分层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选型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后端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Spring Boot 3.4、Spring AI（Ollama ChatModel / EmbeddingModel / PgVectorStore 抽象层）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模型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本地 Ollama：qwen3:4b（对话）、qwen3-embedding:4b（嵌入，2560 维）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向量库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PostgreSQL 16 + pgvector（HNSW 索引，单库部署）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解析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Apache Tika 2.x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鉴权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Spring Security + JWT（多知识库租户隔离）</w:t>
            </w:r>
          </w:p>
        </w:tc>
      </w:tr>
      <w:tr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前端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Vue 3 + Vite + TypeScript + Element Plus + Pinia + fetch-SSE</w:t>
            </w:r>
          </w:p>
        </w:tc>
      </w:tr>
    </w:tbl>
    <w:p>
      <w:pPr>
        <w:pStyle w:val="Heading1"/>
        <w:spacing w:after="120" w:before="240"/>
      </w:pPr>
      <w:r>
        <w:t xml:space="preserve">三、个人职责</w:t>
      </w:r>
    </w:p>
    <w:p>
      <w:pPr>
        <w:pStyle w:val="ListParagraph"/>
        <w:numPr>
          <w:ilvl w:val="0"/>
          <w:numId w:val="2"/>
        </w:numPr>
      </w:pPr>
      <w:r>
        <w:t xml:space="preserve">负责整体技术方案设计：基于 Spring AI 抽象层统一接入本地 Ollama 与向量库，预留云端 DashScope 切换能力。</w:t>
      </w:r>
    </w:p>
    <w:p>
      <w:pPr>
        <w:pStyle w:val="ListParagraph"/>
        <w:numPr>
          <w:ilvl w:val="0"/>
          <w:numId w:val="2"/>
        </w:numPr>
      </w:pPr>
      <w:r>
        <w:t xml:space="preserve">设计异步文档入库管线：Tika 解析 → 固定窗口 + 重叠分块 → 批量向量化，Controller 仅返回 taskId，前端轮询进度，避免大文件阻塞请求。</w:t>
      </w:r>
    </w:p>
    <w:p>
      <w:pPr>
        <w:pStyle w:val="ListParagraph"/>
        <w:numPr>
          <w:ilvl w:val="0"/>
          <w:numId w:val="2"/>
        </w:numPr>
      </w:pPr>
      <w:r>
        <w:t xml:space="preserve">实现 RAG 检索增强：向量相似度 + 关键词融合重排，检索强制按 kbId 租户隔离，杜绝跨库泄露。</w:t>
      </w:r>
    </w:p>
    <w:p>
      <w:pPr>
        <w:pStyle w:val="ListParagraph"/>
        <w:numPr>
          <w:ilvl w:val="0"/>
          <w:numId w:val="2"/>
        </w:numPr>
      </w:pPr>
      <w:r>
        <w:t xml:space="preserve">实现 SSE 流式问答，答案附带引用来源标签，可追溯至具体文档与片段。</w:t>
      </w:r>
    </w:p>
    <w:p>
      <w:pPr>
        <w:pStyle w:val="ListParagraph"/>
        <w:numPr>
          <w:ilvl w:val="0"/>
          <w:numId w:val="2"/>
        </w:numPr>
      </w:pPr>
      <w:r>
        <w:t xml:space="preserve">完成 Vue3 + Element Plus 四页前端（登录 / 知识库 / 文档 / 问答），企业级科技蓝风格。</w:t>
      </w:r>
    </w:p>
    <w:p>
      <w:pPr>
        <w:pStyle w:val="ListParagraph"/>
        <w:numPr>
          <w:ilvl w:val="0"/>
          <w:numId w:val="2"/>
        </w:numPr>
      </w:pPr>
      <w:r>
        <w:t xml:space="preserve">编写 Docker Compose 一键编排（ollama / postgres / backend / frontend）与部署文档。</w:t>
      </w:r>
    </w:p>
    <w:p>
      <w:pPr>
        <w:pStyle w:val="Heading1"/>
        <w:spacing w:after="120" w:before="240"/>
      </w:pPr>
      <w:r>
        <w:t xml:space="preserve">四、架构权衡与亮点（面试可讲）</w:t>
      </w:r>
    </w:p>
    <w:p>
      <w:pPr>
        <w:pStyle w:val="ListParagraph"/>
        <w:numPr>
          <w:ilvl w:val="0"/>
          <w:numId w:val="2"/>
        </w:numPr>
      </w:pPr>
      <w:r>
        <w:t xml:space="preserve">私有化交付：本地推理 + 单库向量，数据不出域，契合企业交付诉求（对比云端方案的合规优势）。</w:t>
      </w:r>
    </w:p>
    <w:p>
      <w:pPr>
        <w:pStyle w:val="ListParagraph"/>
        <w:numPr>
          <w:ilvl w:val="0"/>
          <w:numId w:val="2"/>
        </w:numPr>
      </w:pPr>
      <w:r>
        <w:t xml:space="preserve">pgvector 而非 Milvus / Qdrant：单库运维成本最低，HNSW 支撑十万级向量，足够演示体量，体现“够用就好”的工程权衡。</w:t>
      </w:r>
    </w:p>
    <w:p>
      <w:pPr>
        <w:pStyle w:val="ListParagraph"/>
        <w:numPr>
          <w:ilvl w:val="0"/>
          <w:numId w:val="2"/>
        </w:numPr>
      </w:pPr>
      <w:r>
        <w:t xml:space="preserve">轻量融合重排预留升级位：未引入 cross-encoder，用向量 + 关键词线性融合，无额外推理开销，预留 Rerank 接口。</w:t>
      </w:r>
    </w:p>
    <w:p>
      <w:pPr>
        <w:pStyle w:val="ListParagraph"/>
        <w:numPr>
          <w:ilvl w:val="0"/>
          <w:numId w:val="2"/>
        </w:numPr>
      </w:pPr>
      <w:r>
        <w:t xml:space="preserve">能力沉淀：以 Spring AI 抽象层屏蔽模型差异，业务侧代码与具体模型解耦，便于后续多模型 / 多云接入。</w:t>
      </w:r>
    </w:p>
    <w:p>
      <w:pPr>
        <w:pStyle w:val="Heading1"/>
        <w:spacing w:after="120" w:before="240"/>
      </w:pPr>
      <w:r>
        <w:t xml:space="preserve">五、成果与价值</w:t>
      </w:r>
    </w:p>
    <w:p>
      <w:pPr>
        <w:spacing w:after="80"/>
      </w:pPr>
      <w:r>
        <w:t xml:space="preserve">提供可本地一键部署、可演示、可写进简历的全栈 RAG 样例，覆盖“解析—入库—检索—生成”完整链路，体现从业务抽象到架构落地的端到端交付能力。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2026-09-10T15:30:25.488Z</dcterms:created>
  <dcterms:modified xsi:type="dcterms:W3CDTF">2026-09-10T15:30:25.489Z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