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ODS层开发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外部表，ods层存放位置 HDFS中/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[hadoop@slave02 root]$ hdfs dfs -mkdir /house/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[hadoop@slave02 root]$ hdfs dfs -mkdir /house/data/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[hadoop@slave02 root]$ hdfs dfs -mkdir /house/data/ods/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ods_business_operations(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'/house/data/ods/business_operations';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business_operations.csv /house/data/ods/business_operations/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ods_assets_liabilities(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'/house/data/ods/Assets_liabilities';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-mkdir /house/data/ods/Assets_liabilities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assets_liabilities.csv /house/data/ods/Assets_liabilities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第三个表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-mkdir /house/data/ods/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nnual_average_price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ods_a</w:t>
      </w:r>
      <w:r>
        <w:rPr>
          <w:rFonts w:hint="default"/>
          <w:lang w:val="en-US" w:eastAsia="zh-CN"/>
        </w:rPr>
        <w:t>nnual_average_price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nnual_average_price';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annual_average_price.csv  /house/data/ods/annual_average_price/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第四个表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hdfs dfs -mkdir /house/data/ods/annual_total_sales_revenue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</w:t>
      </w:r>
      <w:r>
        <w:rPr>
          <w:rFonts w:hint="default"/>
          <w:lang w:val="en-US" w:eastAsia="zh-CN"/>
        </w:rPr>
        <w:t>annual_total_sales_revenue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'/house/data/ods/annual_total_sales_revenue';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annual_total_sales_revenue.csv /house/data/ods/annual_total_sales_revenue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第五个表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/house/data/ods/annual_total_sales_area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</w:t>
      </w:r>
      <w:r>
        <w:rPr>
          <w:rFonts w:hint="default"/>
          <w:b/>
          <w:bCs/>
          <w:lang w:val="en-US" w:eastAsia="zh-CN"/>
        </w:rPr>
        <w:t>annual_total_sales_area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</w:t>
      </w:r>
      <w:r>
        <w:rPr>
          <w:rFonts w:hint="default"/>
          <w:b/>
          <w:bCs/>
          <w:lang w:val="en-US" w:eastAsia="zh-CN"/>
        </w:rPr>
        <w:t>annual_total_sales_area</w:t>
      </w:r>
      <w:r>
        <w:rPr>
          <w:rFonts w:hint="default"/>
          <w:lang w:val="en-US" w:eastAsia="zh-CN"/>
        </w:rPr>
        <w:t>';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-put annual_total_sales_area.csv  /house/data/ods/annual_total_sales_area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第六个表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/house/data/ods/regional_housing_prices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</w:t>
      </w:r>
      <w:r>
        <w:rPr>
          <w:rFonts w:hint="default"/>
          <w:b/>
          <w:bCs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 xml:space="preserve">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</w:t>
      </w:r>
      <w:r>
        <w:rPr>
          <w:rFonts w:hint="default"/>
          <w:b/>
          <w:bCs/>
          <w:lang w:val="en-US" w:eastAsia="zh-CN"/>
        </w:rPr>
        <w:t>regional_housing_prices</w:t>
      </w:r>
      <w:r>
        <w:rPr>
          <w:rFonts w:hint="default"/>
          <w:lang w:val="en-US" w:eastAsia="zh-CN"/>
        </w:rPr>
        <w:t>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regional_housing_prices.csv  /house/data/ods/regional_housing_prices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第七个表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hdfs dfs -mkdir /house/data/ods/regional_housing_sales_revenue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</w:t>
      </w:r>
      <w:r>
        <w:rPr>
          <w:rFonts w:hint="eastAsia"/>
          <w:b/>
          <w:bCs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 xml:space="preserve">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</w:t>
      </w:r>
      <w:r>
        <w:rPr>
          <w:rFonts w:hint="eastAsia"/>
          <w:b/>
          <w:bCs/>
          <w:lang w:val="en-US" w:eastAsia="zh-CN"/>
        </w:rPr>
        <w:t>regional_housing_sales_revenue</w:t>
      </w:r>
      <w:r>
        <w:rPr>
          <w:rFonts w:hint="default"/>
          <w:lang w:val="en-US" w:eastAsia="zh-CN"/>
        </w:rPr>
        <w:t>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regional_housing_sales_revenue.csv  /house/data/ods/regional_housing_sales_revenue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第八个表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regional_housing_sales_area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hdfs dfs -mkdir /house/data/ods/regional_housing_sales_area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</w:t>
      </w:r>
      <w:r>
        <w:rPr>
          <w:rFonts w:hint="eastAsia"/>
          <w:b/>
          <w:bCs/>
          <w:lang w:val="en-US" w:eastAsia="zh-CN"/>
        </w:rPr>
        <w:t>regional_housing_sales_area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 xml:space="preserve">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</w:t>
      </w:r>
      <w:r>
        <w:rPr>
          <w:rFonts w:hint="eastAsia"/>
          <w:b/>
          <w:bCs/>
          <w:lang w:val="en-US" w:eastAsia="zh-CN"/>
        </w:rPr>
        <w:t>regional_housing_sales_area</w:t>
      </w:r>
      <w:r>
        <w:rPr>
          <w:rFonts w:hint="default"/>
          <w:lang w:val="en-US" w:eastAsia="zh-CN"/>
        </w:rPr>
        <w:t>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regional_housing_sales_area.csv  /house/data/ods/regional_housing_sales_area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第九个表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-mkdir /house/data/ods/completed_area_of_major_cities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dfs -put completed_area_of_major_cities.csv  /house/data/ods/completed_area_of_major_cities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ods_</w:t>
      </w:r>
      <w:r>
        <w:rPr>
          <w:rFonts w:hint="default"/>
          <w:lang w:val="en-US" w:eastAsia="zh-CN"/>
        </w:rPr>
        <w:t>completed_area_of_major_cities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 xml:space="preserve">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'/house/data/ods/completed_area_of_major_cities';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-mkdir /house/data/ods/constructed_area_of_major_cities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-put constructed_area_of_major_cities.csv  /house/data/ods/constructed_area_of_major_cities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create external table ods_constructed_area_of_major_cities(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 xml:space="preserve"> string,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double,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'/house/data/ods/</w:t>
      </w:r>
      <w:r>
        <w:rPr>
          <w:rFonts w:hint="eastAsia"/>
          <w:lang w:val="en-US" w:eastAsia="zh-CN"/>
        </w:rPr>
        <w:t>constructed_area_of_major_cities</w:t>
      </w:r>
      <w:r>
        <w:rPr>
          <w:rFonts w:hint="default"/>
          <w:lang w:val="en-US" w:eastAsia="zh-CN"/>
        </w:rPr>
        <w:t>';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48D90700"/>
    <w:rsid w:val="5FC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2023-12-20T06:29:00Z</dcterms:created>
  <dc:creator>hanlx</dc:creator>
  <cp:lastModifiedBy>韩林欣</cp:lastModifiedBy>
  <dcterms:modified xsi:type="dcterms:W3CDTF">2023-12-20T07:50:02Z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27359B329009494C8D002CFDFD9ACA64_12</vt:lpwstr>
  </property>
</Properties>
</file>