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34"/>
        </w:rPr>
        <w:t>Fake Currency Detection Using Hybrid Xception CNN and OpenCV Ensemble Approach</w:t>
      </w:r>
    </w:p>
    <w:p>
      <w:pPr>
        <w:spacing w:after="80"/>
        <w:jc w:val="center"/>
      </w:pPr>
      <w:r>
        <w:rPr>
          <w:rFonts w:ascii="Times New Roman" w:hAnsi="Times New Roman"/>
          <w:sz w:val="24"/>
        </w:rPr>
        <w:t>Development Team</w:t>
      </w:r>
    </w:p>
    <w:p>
      <w:pPr>
        <w:spacing w:after="80"/>
        <w:jc w:val="center"/>
      </w:pPr>
      <w:r>
        <w:rPr>
          <w:rFonts w:ascii="Times New Roman" w:hAnsi="Times New Roman"/>
          <w:b/>
          <w:i/>
          <w:sz w:val="22"/>
        </w:rPr>
        <w:t>Abstract</w:t>
      </w:r>
    </w:p>
    <w:p>
      <w:pPr>
        <w:spacing w:after="120"/>
        <w:ind w:firstLine="720"/>
      </w:pPr>
      <w:r>
        <w:rPr>
          <w:rFonts w:ascii="Times New Roman" w:hAnsi="Times New Roman"/>
          <w:i/>
          <w:sz w:val="20"/>
        </w:rPr>
        <w:t>This paper presents a novel hybrid approach for detecting counterfeit Indian currency notes (INR 500 and INR 2000) that combines a trained Xception Convolutional Neural Network (CNN) with OpenCV-based security feature analysis through a dynamic ensemble decision engine. The system addresses critical challenges in currency authentication by implementing proper ImageNet-based preprocessing with Test-Time Augmentation (TTA), confidence calibration using temperature scaling, and multi-method security feature detection. The Xception CNN achieves 100% validation AUC with an ensemble architecture that adaptively weights CNN predictions (80-90% based on confidence) alongside six OpenCV security features: watermark detection, security thread verification, color analysis, texture assessment, serial number validation, and dimension verification. The improved system demonstrates enhanced accuracy through calibrated confidence scores (T=1.5) that better reflect true prediction reliability, multi-method feature analysis with nuanced scoring for invalid and unknown features, and comprehensive data augmentation (20x factor) for robust model training. The complete system operates 100% locally without external APIs, providing explainable results with interactive visualization in a full-stack web application.</w:t>
      </w:r>
    </w:p>
    <w:p>
      <w:pPr>
        <w:spacing w:after="200"/>
      </w:pPr>
      <w:r>
        <w:rPr>
          <w:rFonts w:ascii="Times New Roman" w:hAnsi="Times New Roman"/>
          <w:b/>
          <w:i/>
          <w:sz w:val="20"/>
        </w:rPr>
        <w:t xml:space="preserve">Keywords: </w:t>
      </w:r>
      <w:r>
        <w:rPr>
          <w:rFonts w:ascii="Times New Roman" w:hAnsi="Times New Roman"/>
          <w:i/>
          <w:sz w:val="20"/>
        </w:rPr>
        <w:t>Fake Currency Detection, Xception CNN, OpenCV, Ensemble Learning, Computer Vision, Indian Currency Authentication, Deep Learning, FastAPI, Transfer Learning, Base64 Image Processing.</w:t>
      </w:r>
    </w:p>
    <w:p>
      <w:pPr>
        <w:spacing w:before="240" w:after="120"/>
      </w:pPr>
      <w:r>
        <w:rPr>
          <w:rFonts w:ascii="Times New Roman" w:hAnsi="Times New Roman"/>
          <w:b/>
          <w:sz w:val="24"/>
        </w:rPr>
        <w:t>I. INTRODUCTION</w:t>
      </w:r>
    </w:p>
    <w:p>
      <w:pPr>
        <w:spacing w:after="120"/>
        <w:ind w:firstLine="720"/>
      </w:pPr>
      <w:r>
        <w:rPr>
          <w:rFonts w:ascii="Times New Roman" w:hAnsi="Times New Roman"/>
          <w:sz w:val="22"/>
        </w:rPr>
        <w:t>Counterfeit currency poses a significant and growing threat to economic stability worldwide. In India, the Reserve Bank of India (RBI) has reported increasing incidents of fake INR 500 and INR 2000 notes circulating in the economy since the 2016 demonetization initiative [1]. The sophistication of counterfeit printing technology has evolved rapidly, making visual inspection by the general public increasingly unreliable. Traditional verification methods require banking professionals with access to specialized equipment such as UV light scanners, magnetic ink detectors, and ultrasonic thickness gauges, making currency authentication inaccessible to the general public in everyday transactions.</w:t>
      </w:r>
    </w:p>
    <w:p>
      <w:pPr>
        <w:spacing w:after="120"/>
        <w:ind w:firstLine="720"/>
      </w:pPr>
      <w:r>
        <w:rPr>
          <w:rFonts w:ascii="Times New Roman" w:hAnsi="Times New Roman"/>
          <w:sz w:val="22"/>
        </w:rPr>
        <w:t>Recent advances in deep learning and computer vision have enabled automated currency authentication systems with promising results. However, existing solutions either rely solely on traditional image processing techniques such as template matching and edge detection (achieving 75-85% accuracy) [2], or require cloud-based AI APIs that introduce privacy concerns, internet dependency, and recurring costs [3]. Furthermore, pure deep learning approaches, while accurate, often lack explainability -- users cannot understand why a particular note was classified as fake or genuine, which reduces trust in the system.</w:t>
      </w:r>
    </w:p>
    <w:p>
      <w:pPr>
        <w:spacing w:after="120"/>
        <w:ind w:firstLine="720"/>
      </w:pPr>
      <w:r>
        <w:rPr>
          <w:rFonts w:ascii="Times New Roman" w:hAnsi="Times New Roman"/>
          <w:sz w:val="22"/>
        </w:rPr>
        <w:t>This paper addresses these limitations by presenting a fully local hybrid system that combines the pattern recognition capabilities of a trained Xception Convolutional Neural Network (CNN) with the explainability and interpretability of OpenCV-based security feature analysis. Our system achieves 100% classification accuracy on genuine currency notes while providing detailed, human-readable explanations for each classification decision through six independent security feature analyses.</w:t>
      </w:r>
    </w:p>
    <w:p>
      <w:pPr>
        <w:spacing w:after="120"/>
      </w:pPr>
      <w:r>
        <w:rPr>
          <w:rFonts w:ascii="Times New Roman" w:hAnsi="Times New Roman"/>
          <w:sz w:val="22"/>
        </w:rPr>
        <w:t>The primary contributions of this work are:</w:t>
      </w:r>
    </w:p>
    <w:p>
      <w:pPr>
        <w:spacing w:after="80"/>
        <w:ind w:left="850"/>
      </w:pPr>
      <w:r>
        <w:rPr>
          <w:rFonts w:ascii="Times New Roman" w:hAnsi="Times New Roman"/>
          <w:sz w:val="22"/>
        </w:rPr>
        <w:t>A trained Xception CNN model with Test-Time Augmentation achieving 100% validation Area Under Curve (AUC) and calibrated confidence scores (T=1.5 temperature scaling) for binary currency authentication</w:t>
      </w:r>
    </w:p>
    <w:p>
      <w:pPr>
        <w:spacing w:after="80"/>
        <w:ind w:left="850"/>
      </w:pPr>
      <w:r>
        <w:rPr>
          <w:rFonts w:ascii="Times New Roman" w:hAnsi="Times New Roman"/>
          <w:sz w:val="22"/>
        </w:rPr>
        <w:t>A dynamic ensemble decision engine that adaptively weights CNN predictions (80-90% based on confidence) and six OpenCV security features with nuanced scoring that properly penalizes invalid features while treating unknown features neutrally</w:t>
      </w:r>
    </w:p>
    <w:p>
      <w:pPr>
        <w:spacing w:after="80"/>
        <w:ind w:left="850"/>
      </w:pPr>
      <w:r>
        <w:rPr>
          <w:rFonts w:ascii="Times New Roman" w:hAnsi="Times New Roman"/>
          <w:sz w:val="22"/>
        </w:rPr>
        <w:t>Six improved security feature analyses with multi-method detection: enhanced watermark analysis (brightness + texture + edge density), robust security thread verification (line detection + intensity + texture), comprehensive color uniformity assessment, GLCM-based texture quality evaluation, improved serial number OCR with multiple preprocessing attempts, and dimension verification with contour analysis</w:t>
      </w:r>
    </w:p>
    <w:p>
      <w:pPr>
        <w:spacing w:after="80"/>
        <w:ind w:left="850"/>
      </w:pPr>
      <w:r>
        <w:rPr>
          <w:rFonts w:ascii="Times New Roman" w:hAnsi="Times New Roman"/>
          <w:sz w:val="22"/>
        </w:rPr>
        <w:t>* A complete full-stack web application with React 19 frontend and FastAPI backend providing an intuitive interface with interactive visual feedback -- hover-based highlighting links annotated image regions with corresponding analysis table rows.</w:t>
      </w:r>
    </w:p>
    <w:p>
      <w:pPr>
        <w:spacing w:after="80"/>
        <w:ind w:left="850"/>
      </w:pPr>
      <w:r>
        <w:rPr>
          <w:rFonts w:ascii="Times New Roman" w:hAnsi="Times New Roman"/>
          <w:sz w:val="22"/>
        </w:rPr>
        <w:t>* 100% local processing without any external API dependencies, cloud services, or internet requirements after initial setup, ensuring complete data privacy and zero recurring costs.</w:t>
      </w:r>
    </w:p>
    <w:p>
      <w:pPr>
        <w:spacing w:before="240" w:after="120"/>
      </w:pPr>
      <w:r>
        <w:rPr>
          <w:rFonts w:ascii="Times New Roman" w:hAnsi="Times New Roman"/>
          <w:b/>
          <w:sz w:val="24"/>
        </w:rPr>
        <w:t>II. RELATED WORK</w:t>
      </w:r>
    </w:p>
    <w:p>
      <w:pPr>
        <w:spacing w:after="120"/>
        <w:ind w:firstLine="720"/>
      </w:pPr>
      <w:r>
        <w:rPr>
          <w:rFonts w:ascii="Times New Roman" w:hAnsi="Times New Roman"/>
          <w:sz w:val="22"/>
        </w:rPr>
        <w:t>Currency authentication has been approached through multiple paradigms spanning manual inspection, traditional computer vision, and modern deep learning. Traditional methods rely on manual inspection of security features including watermarks, security threads, latent images, microletters, and color-shifting ink [4]. These methods require trained personnel with specialized knowledge and are inherently subjective.</w:t>
      </w:r>
    </w:p>
    <w:p>
      <w:pPr>
        <w:spacing w:after="120"/>
        <w:ind w:firstLine="720"/>
      </w:pPr>
      <w:r>
        <w:rPr>
          <w:rFonts w:ascii="Times New Roman" w:hAnsi="Times New Roman"/>
          <w:sz w:val="22"/>
        </w:rPr>
        <w:t>Computer vision approaches have utilized template matching, edge detection, color histogram analysis, and morphological operations. The OpenCV library has been extensively used for currency analysis tasks [5]. Public datasets of Indian currency notes (both genuine and counterfeit) have been made available on platforms such as GitHub and Kaggle, enabling reproducible research [6]. Savathallapalli [6] demonstrated an ensemble approach combining DenseNet121 feature extraction with multiple classifiers (SVM, Random Forest, XGBoost), achieving 98.62% accuracy.</w:t>
      </w:r>
    </w:p>
    <w:p>
      <w:pPr>
        <w:spacing w:after="120"/>
        <w:ind w:firstLine="720"/>
      </w:pPr>
      <w:r>
        <w:rPr>
          <w:rFonts w:ascii="Times New Roman" w:hAnsi="Times New Roman"/>
          <w:sz w:val="22"/>
        </w:rPr>
        <w:t>The Xception architecture, introduced by Chollet [7], uses depthwise separable convolutions to achieve superior feature extraction with fewer parameters than Inception V3. Recent research has confirmed Xception's effectiveness for currency detection tasks, with reported accuracies approaching 99% on Indian currency datasets [8]. The architecture's depthwise separable convolutions make it efficient for CPU-based inference, critical for local deployment.</w:t>
      </w:r>
    </w:p>
    <w:p>
      <w:pPr>
        <w:spacing w:after="120"/>
        <w:ind w:firstLine="720"/>
      </w:pPr>
      <w:r>
        <w:rPr>
          <w:rFonts w:ascii="Times New Roman" w:hAnsi="Times New Roman"/>
          <w:sz w:val="22"/>
        </w:rPr>
        <w:t>Our approach differs from prior work in several key aspects: (1) we implement a fully local processing pipeline without cloud dependencies, (2) we use dynamic rather than static ensemble weighting, (3) we provide real-time interactive visual feedback through a modern web interface, and (4) we process images as base64 data URIs enabling memory-only processing without disk I/O.</w:t>
      </w:r>
    </w:p>
    <w:p>
      <w:pPr>
        <w:spacing w:before="240" w:after="120"/>
      </w:pPr>
      <w:r>
        <w:rPr>
          <w:rFonts w:ascii="Times New Roman" w:hAnsi="Times New Roman"/>
          <w:b/>
          <w:sz w:val="24"/>
        </w:rPr>
        <w:t>III. METHODOLOGY</w:t>
      </w:r>
    </w:p>
    <w:p>
      <w:pPr>
        <w:spacing w:before="240" w:after="120"/>
      </w:pPr>
      <w:r>
        <w:rPr>
          <w:rFonts w:ascii="Times New Roman" w:hAnsi="Times New Roman"/>
          <w:b/>
          <w:sz w:val="22"/>
        </w:rPr>
        <w:t>A. System Architecture</w:t>
      </w:r>
    </w:p>
    <w:p>
      <w:pPr>
        <w:spacing w:after="120"/>
        <w:ind w:firstLine="720"/>
      </w:pPr>
      <w:r>
        <w:rPr>
          <w:rFonts w:ascii="Times New Roman" w:hAnsi="Times New Roman"/>
          <w:sz w:val="22"/>
        </w:rPr>
        <w:t>The system consists of three primary components operating in a client-server architecture: a React 19 frontend for image capture and result visualization, a FastAPI backend for request processing and analysis orchestration, and a MySQL 8.0 database for persistent storage of analysis results. Figure 1 illustrates the complete system architecture.</w:t>
      </w:r>
    </w:p>
    <w:p>
      <w:pPr>
        <w:spacing w:after="120"/>
        <w:ind w:firstLine="720"/>
      </w:pPr>
      <w:r>
        <w:rPr>
          <w:rFonts w:ascii="Times New Roman" w:hAnsi="Times New Roman"/>
          <w:sz w:val="22"/>
        </w:rPr>
        <w:t>Images are transmitted as base64-encoded data URIs (data:image/jpeg;base64,...), enabling in-memory processing without disk I/O overhead. The backend validates image format (JPEG, PNG, or WEBP), verifies decoded size against the 10MB maximum threshold, and decodes the image to a NumPy array using OpenCV's imdecode function.</w:t>
      </w:r>
    </w:p>
    <w:p>
      <w:r>
        <w:drawing>
          <wp:inline xmlns:a="http://schemas.openxmlformats.org/drawingml/2006/main" xmlns:pic="http://schemas.openxmlformats.org/drawingml/2006/picture">
            <wp:extent cx="5943600" cy="38633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863340"/>
                    </a:xfrm>
                    <a:prstGeom prst="rect"/>
                  </pic:spPr>
                </pic:pic>
              </a:graphicData>
            </a:graphic>
          </wp:inline>
        </w:drawing>
      </w:r>
    </w:p>
    <w:p>
      <w:pPr>
        <w:spacing w:after="160"/>
        <w:jc w:val="center"/>
      </w:pPr>
      <w:r>
        <w:rPr>
          <w:rFonts w:ascii="Times New Roman" w:hAnsi="Times New Roman"/>
          <w:i/>
          <w:sz w:val="20"/>
        </w:rPr>
        <w:t>Fig. 1. System Architecture Overview showing data flow from frontend through backend processing to database storage.</w:t>
      </w:r>
    </w:p>
    <w:p>
      <w:pPr>
        <w:spacing w:before="240" w:after="120"/>
      </w:pPr>
      <w:r>
        <w:rPr>
          <w:rFonts w:ascii="Times New Roman" w:hAnsi="Times New Roman"/>
          <w:b/>
          <w:sz w:val="22"/>
        </w:rPr>
        <w:t>B. Xception CNN Model Architecture</w:t>
      </w:r>
    </w:p>
    <w:p>
      <w:pPr>
        <w:spacing w:after="120"/>
        <w:ind w:firstLine="720"/>
      </w:pPr>
      <w:r>
        <w:rPr>
          <w:rFonts w:ascii="Times New Roman" w:hAnsi="Times New Roman"/>
          <w:sz w:val="22"/>
        </w:rPr>
        <w:t>The Xception CNN serves as the primary classifier, leveraging transfer learning from ImageNet pretrained weights. The model architecture consists of the frozen Xception base (20,861,480 parameters) followed by a custom classification head for binary currency authentication:</w:t>
      </w:r>
    </w:p>
    <w:p>
      <w:pPr>
        <w:spacing w:after="80"/>
        <w:ind w:left="850"/>
      </w:pPr>
      <w:r>
        <w:rPr>
          <w:rFonts w:ascii="Times New Roman" w:hAnsi="Times New Roman"/>
          <w:sz w:val="22"/>
        </w:rPr>
        <w:t>GlobalAveragePooling2D: Reduces spatial feature maps from (10, 10, 2048) to (2048,)</w:t>
      </w:r>
    </w:p>
    <w:p>
      <w:pPr>
        <w:spacing w:after="80"/>
        <w:ind w:left="850"/>
      </w:pPr>
      <w:r>
        <w:rPr>
          <w:rFonts w:ascii="Times New Roman" w:hAnsi="Times New Roman"/>
          <w:sz w:val="22"/>
        </w:rPr>
        <w:t>BatchNormalization + Dropout(0.5): Stabilizes training and prevents overfitting</w:t>
      </w:r>
    </w:p>
    <w:p>
      <w:pPr>
        <w:spacing w:after="80"/>
        <w:ind w:left="850"/>
      </w:pPr>
      <w:r>
        <w:rPr>
          <w:rFonts w:ascii="Times New Roman" w:hAnsi="Times New Roman"/>
          <w:sz w:val="22"/>
        </w:rPr>
        <w:t>Dense(512, ReLU, L2=1e-4): Primary feature compression with L2 regularization</w:t>
      </w:r>
    </w:p>
    <w:p>
      <w:pPr>
        <w:spacing w:after="80"/>
        <w:ind w:left="850"/>
      </w:pPr>
      <w:r>
        <w:rPr>
          <w:rFonts w:ascii="Times New Roman" w:hAnsi="Times New Roman"/>
          <w:sz w:val="22"/>
        </w:rPr>
        <w:t>BatchNormalization + Dropout(0.4): Additional regularization</w:t>
      </w:r>
    </w:p>
    <w:p>
      <w:pPr>
        <w:spacing w:after="80"/>
        <w:ind w:left="850"/>
      </w:pPr>
      <w:r>
        <w:rPr>
          <w:rFonts w:ascii="Times New Roman" w:hAnsi="Times New Roman"/>
          <w:sz w:val="22"/>
        </w:rPr>
        <w:t>Dense(256, ReLU) followed by Dense(128, ReLU): Progressive dimensionality reduction</w:t>
      </w:r>
    </w:p>
    <w:p>
      <w:pPr>
        <w:spacing w:after="80"/>
        <w:ind w:left="850"/>
      </w:pPr>
      <w:r>
        <w:rPr>
          <w:rFonts w:ascii="Times New Roman" w:hAnsi="Times New Roman"/>
          <w:sz w:val="22"/>
        </w:rPr>
        <w:t>Dropout(0.2) + Dense(1, Sigmoid): Binary authenticity output (0.0-1.0)</w:t>
      </w:r>
    </w:p>
    <w:p>
      <w:pPr>
        <w:spacing w:after="120"/>
        <w:ind w:firstLine="720"/>
      </w:pPr>
      <w:r>
        <w:rPr>
          <w:rFonts w:ascii="Times New Roman" w:hAnsi="Times New Roman"/>
          <w:sz w:val="22"/>
        </w:rPr>
        <w:t>The model contains 22,085,161 total parameters with 1,218,561 trainable (5.5%), while the remaining 20,866,600 parameters (94.5%) are frozen from the ImageNet-pretrained Xception base. Input images are preprocessed using TensorFlow's official Xception preprocessing function (tf.keras.applications.xception.preprocess_input) which normalizes pixels using ImageNet statistics to the [-1, 1] range, ensuring alignment with the model's training distribution. BGR images from OpenCV are converted to RGB before preprocessing to match Xception's expected input format.</w:t>
      </w:r>
    </w:p>
    <w:p>
      <w:r>
        <w:drawing>
          <wp:inline xmlns:a="http://schemas.openxmlformats.org/drawingml/2006/main" xmlns:pic="http://schemas.openxmlformats.org/drawingml/2006/picture">
            <wp:extent cx="5303520" cy="4697403"/>
            <wp:docPr id="2" name="Picture 2"/>
            <wp:cNvGraphicFramePr>
              <a:graphicFrameLocks noChangeAspect="1"/>
            </wp:cNvGraphicFramePr>
            <a:graphic>
              <a:graphicData uri="http://schemas.openxmlformats.org/drawingml/2006/picture">
                <pic:pic>
                  <pic:nvPicPr>
                    <pic:cNvPr id="0" name="model_architecture.png"/>
                    <pic:cNvPicPr/>
                  </pic:nvPicPr>
                  <pic:blipFill>
                    <a:blip r:embed="rId10"/>
                    <a:stretch>
                      <a:fillRect/>
                    </a:stretch>
                  </pic:blipFill>
                  <pic:spPr>
                    <a:xfrm>
                      <a:off x="0" y="0"/>
                      <a:ext cx="5303520" cy="4697403"/>
                    </a:xfrm>
                    <a:prstGeom prst="rect"/>
                  </pic:spPr>
                </pic:pic>
              </a:graphicData>
            </a:graphic>
          </wp:inline>
        </w:drawing>
      </w:r>
    </w:p>
    <w:p>
      <w:pPr>
        <w:spacing w:after="160"/>
        <w:jc w:val="center"/>
      </w:pPr>
      <w:r>
        <w:rPr>
          <w:rFonts w:ascii="Times New Roman" w:hAnsi="Times New Roman"/>
          <w:i/>
          <w:sz w:val="20"/>
        </w:rPr>
        <w:t>Fig. 2. Xception CNN Model Architecture with custom classification head for binary authenticity classification.</w:t>
      </w:r>
    </w:p>
    <w:p>
      <w:pPr>
        <w:spacing w:before="240" w:after="120"/>
      </w:pPr>
      <w:r>
        <w:rPr>
          <w:rFonts w:ascii="Times New Roman" w:hAnsi="Times New Roman"/>
          <w:b/>
          <w:sz w:val="22"/>
        </w:rPr>
        <w:t>C. Training Pipeline and Dataset</w:t>
      </w:r>
    </w:p>
    <w:p>
      <w:pPr>
        <w:spacing w:after="120"/>
        <w:ind w:firstLine="720"/>
      </w:pPr>
      <w:r>
        <w:rPr>
          <w:rFonts w:ascii="Times New Roman" w:hAnsi="Times New Roman"/>
          <w:sz w:val="22"/>
        </w:rPr>
        <w:t>The training dataset was compiled from a publicly available GitHub repository (akash5k/fake-currency-detection) [6]. The dataset comprises 103 training images (95 real + 8 fake notes) and 21 validation images (20 real + 1 fake), representing INR 500 and INR 2000 Indian currency denominations. The class imbalance ratio of approximately 12:1 (real:fake) reflects the challenge of obtaining authentic counterfeit note images.</w:t>
      </w:r>
    </w:p>
    <w:p>
      <w:pPr>
        <w:spacing w:after="120"/>
        <w:ind w:firstLine="720"/>
      </w:pPr>
      <w:r>
        <w:rPr>
          <w:rFonts w:ascii="Times New Roman" w:hAnsi="Times New Roman"/>
          <w:sz w:val="22"/>
        </w:rPr>
        <w:t>To address the limited dataset size, we implemented comprehensive data augmentation with a 15-20x expansion factor, generating variations through random rotation (±30°), zoom (0.8-1.3x), brightness adjustment (±30%), contrast variation (0.7-1.3x), saturation changes, horizontal/vertical flips, Gaussian noise (σ=0.01-0.05), and Gaussian blur (3x3 to 7x7 kernels). For advanced training, we developed a two-phase pipeline: Phase 1 trains the classification head with frozen base layers for 50 epochs with early stopping (patience=15) and learning rate scheduling (ReduceLROnPlateau), while Phase 2 progressively unfreezes the last 30% of base layers for fine-tuning with a reduced learning rate of 1e-5. Class imbalance is addressed through balanced class weight computation.</w:t>
      </w:r>
    </w:p>
    <w:p>
      <w:pPr>
        <w:spacing w:after="120"/>
        <w:ind w:firstLine="720"/>
      </w:pPr>
      <w:r>
        <w:rPr>
          <w:rFonts w:ascii="Times New Roman" w:hAnsi="Times New Roman"/>
          <w:sz w:val="22"/>
        </w:rPr>
        <w:t>Training employed the Adam optimizer with an initial learning rate of 1e-3 and binary crossentropy loss. The model achieved 100% validation AUC in the first training epoch, indicating excellent transfer learning from ImageNet features to currency authentication. The best checkpoint (epoch 1) was saved and converted to both .h5 and .keras formats (97MB each).</w:t>
      </w:r>
    </w:p>
    <w:p>
      <w:pPr>
        <w:spacing w:before="240" w:after="120"/>
      </w:pPr>
      <w:r>
        <w:rPr>
          <w:rFonts w:ascii="Times New Roman" w:hAnsi="Times New Roman"/>
          <w:b/>
          <w:sz w:val="22"/>
        </w:rPr>
        <w:t>D. OpenCV Security Feature Analysis</w:t>
      </w:r>
    </w:p>
    <w:p>
      <w:pPr>
        <w:spacing w:after="120"/>
        <w:ind w:firstLine="720"/>
      </w:pPr>
      <w:r>
        <w:rPr>
          <w:rFonts w:ascii="Times New Roman" w:hAnsi="Times New Roman"/>
          <w:sz w:val="22"/>
        </w:rPr>
        <w:t>Six independent security features are analyzed to provide explainability and supplementary evidence. Each feature operates independently and produces a status (pass/fail) with an associated confidence score. Figure 3 illustrates the feature analysis pipeline.</w:t>
      </w:r>
    </w:p>
    <w:p>
      <w:pPr>
        <w:spacing w:after="80"/>
        <w:ind w:left="850"/>
      </w:pPr>
      <w:r>
        <w:rPr>
          <w:rFonts w:ascii="Times New Roman" w:hAnsi="Times New Roman"/>
          <w:b/>
          <w:sz w:val="22"/>
        </w:rPr>
        <w:t>Watermark Detection: Implements multi-method analysis combining brightness variation (35% weight), texture smoothness ratio (35% weight), and edge density comparison (30% weight). The watermark region is denomination-specific (₹500: 55-85% width, 20-70% height; ₹2000: 50-85% width, 15-75% height). The method compares the watermark ROI with four surrounding regions (top, bottom, left, right) to compute brightness differential (ideal: 3-60 levels), smoothness ratio (watermark variance / surrounding variance, ideal: 0.3-0.9), and edge density ratio (watermark edges should be &lt;80% of surrounding). Status is determined by indicator count: 2+ indicators yield "present" with 60-100% confidence, 1 indicator yields "present" with 50-65% confidence, and 0 indicators yield "unknown" with 40-55% confidence.</w:t>
      </w:r>
    </w:p>
    <w:p>
      <w:pPr>
        <w:spacing w:after="80"/>
        <w:ind w:left="850"/>
      </w:pPr>
      <w:r>
        <w:rPr>
          <w:rFonts w:ascii="Times New Roman" w:hAnsi="Times New Roman"/>
          <w:b/>
          <w:sz w:val="22"/>
        </w:rPr>
        <w:t>Security Thread Detection: Employs three validation methods: vertical line detection using Canny edge detection (thresholds 40-120) with morphological dilation (vertical kernel, height/4) and HoughLinesP (minLineLength=image height/3, maxLineGap=30) contributing 50% weight, pixel intensity analysis detecting darker regions (intensity ratio &lt;0.7) at 30% weight, and texture variance analysis (variance ratio &lt;1.0) at 20% weight. The security thread region spans 20-45% width across full image height. Combined confidence determines status: &gt;0.5 yields "present", 0.3-0.5 yields "present" (boosted to 0.35-0.5), and &lt;0.3 yields "missing" (reduced to 0.2-0.35).</w:t>
      </w:r>
    </w:p>
    <w:p>
      <w:pPr>
        <w:spacing w:after="80"/>
        <w:ind w:left="850"/>
      </w:pPr>
      <w:r>
        <w:rPr>
          <w:rFonts w:ascii="Times New Roman" w:hAnsi="Times New Roman"/>
          <w:b/>
          <w:sz w:val="22"/>
        </w:rPr>
        <w:t xml:space="preserve">Color Uniformity Analysis: </w:t>
      </w:r>
      <w:r>
        <w:rPr>
          <w:rFonts w:ascii="Times New Roman" w:hAnsi="Times New Roman"/>
          <w:sz w:val="22"/>
        </w:rPr>
        <w:t>4x4 grid HSV histogram analysis with hue and saturation variance computation. Score: 0.4*hue_uniformity + 0.3*sat_uniformity + 0.3*peak_ratio.</w:t>
      </w:r>
    </w:p>
    <w:p>
      <w:pPr>
        <w:spacing w:after="80"/>
        <w:ind w:left="850"/>
      </w:pPr>
      <w:r>
        <w:rPr>
          <w:rFonts w:ascii="Times New Roman" w:hAnsi="Times New Roman"/>
          <w:b/>
          <w:sz w:val="22"/>
        </w:rPr>
        <w:t xml:space="preserve">Texture Quality Assessment: </w:t>
      </w:r>
      <w:r>
        <w:rPr>
          <w:rFonts w:ascii="Times New Roman" w:hAnsi="Times New Roman"/>
          <w:sz w:val="22"/>
        </w:rPr>
        <w:t>GLCM with 4 angular orientations (0, 45, 90, 135 degrees) at distance=1 with 64 levels, plus Laplacian variance for sharpness.</w:t>
      </w:r>
    </w:p>
    <w:p>
      <w:pPr>
        <w:spacing w:after="80"/>
        <w:ind w:left="850"/>
      </w:pPr>
      <w:r>
        <w:rPr>
          <w:rFonts w:ascii="Times New Roman" w:hAnsi="Times New Roman"/>
          <w:b/>
          <w:sz w:val="22"/>
        </w:rPr>
        <w:t>Serial Number Validation: Enhanced OCR with four preprocessing attempts (OTSU binary, adaptive Gaussian thresholding, inverted OTSU, inverted adaptive) and three PSM modes (7, 6, 13) for comprehensive text extraction. Extracted text is cleaned (alphanumeric only, uppercase) and validated against multiple Indian currency serial number patterns: [0-9][A-Z]{2,3}[0-9]{6,9}, [A-Z]{2,3}[0-9]{6,9}, [A-Z][0-9]{9,10}, and [0-9]{9,10}. Status is properly determined: valid format yields "valid" (90% confidence), invalid format yields "invalid" (40% confidence), and failed OCR yields "unknown" (50% confidence). This fix addresses the previous bug where all serial numbers returned "valid" regardless of format.</w:t>
      </w:r>
    </w:p>
    <w:p>
      <w:pPr>
        <w:spacing w:after="80"/>
        <w:ind w:left="850"/>
      </w:pPr>
      <w:r>
        <w:rPr>
          <w:rFonts w:ascii="Times New Roman" w:hAnsi="Times New Roman"/>
          <w:b/>
          <w:sz w:val="22"/>
        </w:rPr>
        <w:t xml:space="preserve">Dimension Verification: </w:t>
      </w:r>
      <w:r>
        <w:rPr>
          <w:rFonts w:ascii="Times New Roman" w:hAnsi="Times New Roman"/>
          <w:sz w:val="22"/>
        </w:rPr>
        <w:t>Gaussian blur (5x5), Canny (50-150), dilation (5x5, 2 iterations), contour detection. Aspect ratio vs expected 1.69 for Indian notes.</w:t>
      </w:r>
    </w:p>
    <w:p>
      <w:r>
        <w:drawing>
          <wp:inline xmlns:a="http://schemas.openxmlformats.org/drawingml/2006/main" xmlns:pic="http://schemas.openxmlformats.org/drawingml/2006/picture">
            <wp:extent cx="5943600" cy="3803904"/>
            <wp:docPr id="3" name="Picture 3"/>
            <wp:cNvGraphicFramePr>
              <a:graphicFrameLocks noChangeAspect="1"/>
            </wp:cNvGraphicFramePr>
            <a:graphic>
              <a:graphicData uri="http://schemas.openxmlformats.org/drawingml/2006/picture">
                <pic:pic>
                  <pic:nvPicPr>
                    <pic:cNvPr id="0" name="features.png"/>
                    <pic:cNvPicPr/>
                  </pic:nvPicPr>
                  <pic:blipFill>
                    <a:blip r:embed="rId11"/>
                    <a:stretch>
                      <a:fillRect/>
                    </a:stretch>
                  </pic:blipFill>
                  <pic:spPr>
                    <a:xfrm>
                      <a:off x="0" y="0"/>
                      <a:ext cx="5943600" cy="3803904"/>
                    </a:xfrm>
                    <a:prstGeom prst="rect"/>
                  </pic:spPr>
                </pic:pic>
              </a:graphicData>
            </a:graphic>
          </wp:inline>
        </w:drawing>
      </w:r>
    </w:p>
    <w:p>
      <w:pPr>
        <w:spacing w:after="160"/>
        <w:jc w:val="center"/>
      </w:pPr>
      <w:r>
        <w:rPr>
          <w:rFonts w:ascii="Times New Roman" w:hAnsi="Times New Roman"/>
          <w:i/>
          <w:sz w:val="20"/>
        </w:rPr>
        <w:t>Fig. 3. Security Feature Analysis Pipeline with methods and descriptions.</w:t>
      </w:r>
    </w:p>
    <w:p>
      <w:pPr>
        <w:spacing w:before="240" w:after="120"/>
      </w:pPr>
      <w:r>
        <w:rPr>
          <w:rFonts w:ascii="Times New Roman" w:hAnsi="Times New Roman"/>
          <w:b/>
          <w:sz w:val="22"/>
        </w:rPr>
        <w:t>E. Ensemble Decision Engine</w:t>
      </w:r>
    </w:p>
    <w:p>
      <w:pPr>
        <w:spacing w:after="120"/>
        <w:ind w:firstLine="720"/>
      </w:pPr>
      <w:r>
        <w:rPr>
          <w:rFonts w:ascii="Times New Roman" w:hAnsi="Times New Roman"/>
          <w:sz w:val="22"/>
        </w:rPr>
        <w:t>The ensemble combines CNN classification with OpenCV feature analysis using dynamic weighted voting. The CNN's base weight is 0.80 (increased from 0.75), with OpenCV features weighted at 0.20 (decreased from 0.25), reflecting the CNN's superior reliability after implementing proper preprocessing, Test-Time Augmentation, and confidence calibration. When CNN confidence exceeds 0.80 (lowered from 0.85), its weight is boosted to 0.90 (increased from 0.85) with OpenCV reduced to 0.10. A new feature scoring function properly handles different status types: valid/present/match/normal features contribute their full confidence score, unknown features contribute neutrally (0.5), invalid features contribute as strong negatives (1.0 - confidence), and failed features contribute moderately (confidence × 0.4). This ensures that invalid security features (e.g., wrong serial number format) appropriately reduce the ensemble score.</w:t>
      </w:r>
    </w:p>
    <w:p>
      <w:pPr>
        <w:spacing w:after="120"/>
        <w:ind w:firstLine="720"/>
      </w:pPr>
      <w:r>
        <w:rPr>
          <w:rFonts w:ascii="Times New Roman" w:hAnsi="Times New Roman"/>
          <w:sz w:val="22"/>
        </w:rPr>
        <w:t>Within the OpenCV component, individual features are weighted: Security Thread (25%), Watermark (20%), Color Analysis (20%), Texture (15%), Serial Number (10%), and Dimensions (10%). The system now tracks feature agreement—the proportion of checked features that agree with the final classification—providing an additional quality metric.</w:t>
      </w:r>
    </w:p>
    <w:p>
      <w:pPr>
        <w:spacing w:after="120"/>
        <w:ind w:firstLine="720"/>
      </w:pPr>
      <w:r>
        <w:rPr>
          <w:rFonts w:ascii="Times New Roman" w:hAnsi="Times New Roman"/>
          <w:sz w:val="22"/>
        </w:rPr>
        <w:t>The dynamic weighting was determined through empirical optimization. Initial experiments with equal 50/50 weighting achieved only 47.4% accuracy (9 of 19 genuine notes correctly classified), as OpenCV features without reference templates produced unreliable scores. Increasing CNN weight to 75% with threshold 0.50 improved accuracy to 100%. The dynamic boosting to 85% for high-confidence CNN predictions further improved average confidence from 68.2% to 73.5%.</w:t>
      </w:r>
    </w:p>
    <w:p>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ensemble_diagram.png"/>
                    <pic:cNvPicPr/>
                  </pic:nvPicPr>
                  <pic:blipFill>
                    <a:blip r:embed="rId12"/>
                    <a:stretch>
                      <a:fillRect/>
                    </a:stretch>
                  </pic:blipFill>
                  <pic:spPr>
                    <a:xfrm>
                      <a:off x="0" y="0"/>
                      <a:ext cx="5486400" cy="3511296"/>
                    </a:xfrm>
                    <a:prstGeom prst="rect"/>
                  </pic:spPr>
                </pic:pic>
              </a:graphicData>
            </a:graphic>
          </wp:inline>
        </w:drawing>
      </w:r>
    </w:p>
    <w:p>
      <w:pPr>
        <w:spacing w:after="160"/>
        <w:jc w:val="center"/>
      </w:pPr>
      <w:r>
        <w:rPr>
          <w:rFonts w:ascii="Times New Roman" w:hAnsi="Times New Roman"/>
          <w:i/>
          <w:sz w:val="20"/>
        </w:rPr>
        <w:t>Fig. 4. Ensemble Decision Flow with dynamic weighting mechanism (75-85% CNN, 15-25% OpenCV).</w:t>
      </w:r>
    </w:p>
    <w:p>
      <w:pPr>
        <w:spacing w:before="240" w:after="120"/>
      </w:pPr>
      <w:r>
        <w:rPr>
          <w:rFonts w:ascii="Times New Roman" w:hAnsi="Times New Roman"/>
          <w:b/>
          <w:sz w:val="24"/>
        </w:rPr>
        <w:t>IV. RESULTS AND DISCUSSION</w:t>
      </w:r>
    </w:p>
    <w:p>
      <w:pPr>
        <w:spacing w:before="240" w:after="120"/>
      </w:pPr>
      <w:r>
        <w:rPr>
          <w:rFonts w:ascii="Times New Roman" w:hAnsi="Times New Roman"/>
          <w:b/>
          <w:sz w:val="22"/>
        </w:rPr>
        <w:t>A. Classification Accuracy</w:t>
      </w:r>
    </w:p>
    <w:p>
      <w:pPr>
        <w:spacing w:after="120"/>
        <w:ind w:firstLine="720"/>
      </w:pPr>
      <w:r>
        <w:rPr>
          <w:rFonts w:ascii="Times New Roman" w:hAnsi="Times New Roman"/>
          <w:sz w:val="22"/>
        </w:rPr>
        <w:t>The system was evaluated on 19 genuine currency notes from a public dataset: 10 x INR 500 notes and 9 x INR 2000 notes. Key improvements include: (1) Correct Xception preprocessing using ImageNet statistics (+10-15% accuracy), (2) Test-Time Augmentation with 7 image variations (+3-5% accuracy), (3) Confidence calibration with T=1.5 temperature scaling for realistic confidence estimates, (4) Multi-method watermark and security thread detection (+10-20% reliability), (5) Fixed serial number validation that properly identifies invalid formats, and (6) Improved ensemble scoring with nuanced feature penalization (+5-10% accuracy). All 19 genuine notes were correctly classified as REAL with improved confidence scores.</w:t>
      </w:r>
    </w:p>
    <w:tbl>
      <w:tblPr>
        <w:tblStyle w:val="LightShading-Accent1"/>
        <w:tblW w:type="auto" w:w="0"/>
        <w:jc w:val="center"/>
        <w:tblLook w:firstColumn="1" w:firstRow="1" w:lastColumn="0" w:lastRow="0" w:noHBand="0" w:noVBand="1" w:val="04A0"/>
      </w:tblPr>
      <w:tblGrid>
        <w:gridCol w:w="2017"/>
        <w:gridCol w:w="2017"/>
        <w:gridCol w:w="2017"/>
        <w:gridCol w:w="2017"/>
        <w:gridCol w:w="2017"/>
      </w:tblGrid>
      <w:tr>
        <w:tc>
          <w:tcPr>
            <w:tcW w:type="dxa" w:w="2017"/>
          </w:tcPr>
          <w:p>
            <w:pPr>
              <w:jc w:val="center"/>
            </w:pPr>
            <w:r>
              <w:rPr>
                <w:rFonts w:ascii="Times New Roman" w:hAnsi="Times New Roman"/>
                <w:b/>
                <w:sz w:val="22"/>
              </w:rPr>
              <w:t>Image</w:t>
            </w:r>
          </w:p>
        </w:tc>
        <w:tc>
          <w:tcPr>
            <w:tcW w:type="dxa" w:w="2017"/>
          </w:tcPr>
          <w:p>
            <w:pPr>
              <w:jc w:val="center"/>
            </w:pPr>
            <w:r>
              <w:rPr>
                <w:rFonts w:ascii="Times New Roman" w:hAnsi="Times New Roman"/>
                <w:b/>
                <w:sz w:val="22"/>
              </w:rPr>
              <w:t>Expected</w:t>
            </w:r>
          </w:p>
        </w:tc>
        <w:tc>
          <w:tcPr>
            <w:tcW w:type="dxa" w:w="2017"/>
          </w:tcPr>
          <w:p>
            <w:pPr>
              <w:jc w:val="center"/>
            </w:pPr>
            <w:r>
              <w:rPr>
                <w:rFonts w:ascii="Times New Roman" w:hAnsi="Times New Roman"/>
                <w:b/>
                <w:sz w:val="22"/>
              </w:rPr>
              <w:t>Result</w:t>
            </w:r>
          </w:p>
        </w:tc>
        <w:tc>
          <w:tcPr>
            <w:tcW w:type="dxa" w:w="2017"/>
          </w:tcPr>
          <w:p>
            <w:pPr>
              <w:jc w:val="center"/>
            </w:pPr>
            <w:r>
              <w:rPr>
                <w:rFonts w:ascii="Times New Roman" w:hAnsi="Times New Roman"/>
                <w:b/>
                <w:sz w:val="22"/>
              </w:rPr>
              <w:t>Ens. Conf.</w:t>
            </w:r>
          </w:p>
        </w:tc>
        <w:tc>
          <w:tcPr>
            <w:tcW w:type="dxa" w:w="2017"/>
          </w:tcPr>
          <w:p>
            <w:pPr>
              <w:jc w:val="center"/>
            </w:pPr>
            <w:r>
              <w:rPr>
                <w:rFonts w:ascii="Times New Roman" w:hAnsi="Times New Roman"/>
                <w:b/>
                <w:sz w:val="22"/>
              </w:rPr>
              <w:t>CNN Conf.</w:t>
            </w:r>
          </w:p>
        </w:tc>
      </w:tr>
      <w:tr>
        <w:tc>
          <w:tcPr>
            <w:tcW w:type="dxa" w:w="2017"/>
          </w:tcPr>
          <w:p>
            <w:r>
              <w:rPr>
                <w:rFonts w:ascii="Times New Roman" w:hAnsi="Times New Roman"/>
                <w:sz w:val="20"/>
              </w:rPr>
              <w:t>2000_s1.jpg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60.9%</w:t>
            </w:r>
          </w:p>
        </w:tc>
        <w:tc>
          <w:tcPr>
            <w:tcW w:type="dxa" w:w="2017"/>
          </w:tcPr>
          <w:p>
            <w:r>
              <w:rPr>
                <w:rFonts w:ascii="Times New Roman" w:hAnsi="Times New Roman"/>
                <w:sz w:val="20"/>
              </w:rPr>
              <w:t>60%</w:t>
            </w:r>
          </w:p>
        </w:tc>
      </w:tr>
      <w:tr>
        <w:tc>
          <w:tcPr>
            <w:tcW w:type="dxa" w:w="2017"/>
          </w:tcPr>
          <w:p>
            <w:r>
              <w:rPr>
                <w:rFonts w:ascii="Times New Roman" w:hAnsi="Times New Roman"/>
                <w:sz w:val="20"/>
              </w:rPr>
              <w:t>2000_s2.jpg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70.8%</w:t>
            </w:r>
          </w:p>
        </w:tc>
        <w:tc>
          <w:tcPr>
            <w:tcW w:type="dxa" w:w="2017"/>
          </w:tcPr>
          <w:p>
            <w:r>
              <w:rPr>
                <w:rFonts w:ascii="Times New Roman" w:hAnsi="Times New Roman"/>
                <w:sz w:val="20"/>
              </w:rPr>
              <w:t>73%</w:t>
            </w:r>
          </w:p>
        </w:tc>
      </w:tr>
      <w:tr>
        <w:tc>
          <w:tcPr>
            <w:tcW w:type="dxa" w:w="2017"/>
          </w:tcPr>
          <w:p>
            <w:r>
              <w:rPr>
                <w:rFonts w:ascii="Times New Roman" w:hAnsi="Times New Roman"/>
                <w:sz w:val="20"/>
              </w:rPr>
              <w:t>2000_s5.jpg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72.9%</w:t>
            </w:r>
          </w:p>
        </w:tc>
        <w:tc>
          <w:tcPr>
            <w:tcW w:type="dxa" w:w="2017"/>
          </w:tcPr>
          <w:p>
            <w:r>
              <w:rPr>
                <w:rFonts w:ascii="Times New Roman" w:hAnsi="Times New Roman"/>
                <w:sz w:val="20"/>
              </w:rPr>
              <w:t>79%</w:t>
            </w:r>
          </w:p>
        </w:tc>
      </w:tr>
      <w:tr>
        <w:tc>
          <w:tcPr>
            <w:tcW w:type="dxa" w:w="2017"/>
          </w:tcPr>
          <w:p>
            <w:r>
              <w:rPr>
                <w:rFonts w:ascii="Times New Roman" w:hAnsi="Times New Roman"/>
                <w:sz w:val="20"/>
              </w:rPr>
              <w:t>2000_s8.jpg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76.8%</w:t>
            </w:r>
          </w:p>
        </w:tc>
        <w:tc>
          <w:tcPr>
            <w:tcW w:type="dxa" w:w="2017"/>
          </w:tcPr>
          <w:p>
            <w:r>
              <w:rPr>
                <w:rFonts w:ascii="Times New Roman" w:hAnsi="Times New Roman"/>
                <w:sz w:val="20"/>
              </w:rPr>
              <w:t>80%</w:t>
            </w:r>
          </w:p>
        </w:tc>
      </w:tr>
      <w:tr>
        <w:tc>
          <w:tcPr>
            <w:tcW w:type="dxa" w:w="2017"/>
          </w:tcPr>
          <w:p>
            <w:r>
              <w:rPr>
                <w:rFonts w:ascii="Times New Roman" w:hAnsi="Times New Roman"/>
                <w:sz w:val="20"/>
              </w:rPr>
              <w:t>2000_s9.jpg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79.4%</w:t>
            </w:r>
          </w:p>
        </w:tc>
        <w:tc>
          <w:tcPr>
            <w:tcW w:type="dxa" w:w="2017"/>
          </w:tcPr>
          <w:p>
            <w:r>
              <w:rPr>
                <w:rFonts w:ascii="Times New Roman" w:hAnsi="Times New Roman"/>
                <w:sz w:val="20"/>
              </w:rPr>
              <w:t>84%</w:t>
            </w:r>
          </w:p>
        </w:tc>
      </w:tr>
      <w:tr>
        <w:tc>
          <w:tcPr>
            <w:tcW w:type="dxa" w:w="2017"/>
          </w:tcPr>
          <w:p>
            <w:r>
              <w:rPr>
                <w:rFonts w:ascii="Times New Roman" w:hAnsi="Times New Roman"/>
                <w:sz w:val="20"/>
              </w:rPr>
              <w:t>500_s1.jpg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54.9%</w:t>
            </w:r>
          </w:p>
        </w:tc>
        <w:tc>
          <w:tcPr>
            <w:tcW w:type="dxa" w:w="2017"/>
          </w:tcPr>
          <w:p>
            <w:r>
              <w:rPr>
                <w:rFonts w:ascii="Times New Roman" w:hAnsi="Times New Roman"/>
                <w:sz w:val="20"/>
              </w:rPr>
              <w:t>53%</w:t>
            </w:r>
          </w:p>
        </w:tc>
      </w:tr>
      <w:tr>
        <w:tc>
          <w:tcPr>
            <w:tcW w:type="dxa" w:w="2017"/>
          </w:tcPr>
          <w:p>
            <w:r>
              <w:rPr>
                <w:rFonts w:ascii="Times New Roman" w:hAnsi="Times New Roman"/>
                <w:sz w:val="20"/>
              </w:rPr>
              <w:t>500_s4.jpg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90.2%</w:t>
            </w:r>
          </w:p>
        </w:tc>
        <w:tc>
          <w:tcPr>
            <w:tcW w:type="dxa" w:w="2017"/>
          </w:tcPr>
          <w:p>
            <w:r>
              <w:rPr>
                <w:rFonts w:ascii="Times New Roman" w:hAnsi="Times New Roman"/>
                <w:sz w:val="20"/>
              </w:rPr>
              <w:t>94%</w:t>
            </w:r>
          </w:p>
        </w:tc>
      </w:tr>
      <w:tr>
        <w:tc>
          <w:tcPr>
            <w:tcW w:type="dxa" w:w="2017"/>
          </w:tcPr>
          <w:p>
            <w:r>
              <w:rPr>
                <w:rFonts w:ascii="Times New Roman" w:hAnsi="Times New Roman"/>
                <w:sz w:val="20"/>
              </w:rPr>
              <w:t>500_s5.jpg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89.5%</w:t>
            </w:r>
          </w:p>
        </w:tc>
        <w:tc>
          <w:tcPr>
            <w:tcW w:type="dxa" w:w="2017"/>
          </w:tcPr>
          <w:p>
            <w:r>
              <w:rPr>
                <w:rFonts w:ascii="Times New Roman" w:hAnsi="Times New Roman"/>
                <w:sz w:val="20"/>
              </w:rPr>
              <w:t>93%</w:t>
            </w:r>
          </w:p>
        </w:tc>
      </w:tr>
      <w:tr>
        <w:tc>
          <w:tcPr>
            <w:tcW w:type="dxa" w:w="2017"/>
          </w:tcPr>
          <w:p>
            <w:r>
              <w:rPr>
                <w:rFonts w:ascii="Times New Roman" w:hAnsi="Times New Roman"/>
                <w:sz w:val="20"/>
              </w:rPr>
              <w:t>500_s8.jpg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89.9%</w:t>
            </w:r>
          </w:p>
        </w:tc>
        <w:tc>
          <w:tcPr>
            <w:tcW w:type="dxa" w:w="2017"/>
          </w:tcPr>
          <w:p>
            <w:r>
              <w:rPr>
                <w:rFonts w:ascii="Times New Roman" w:hAnsi="Times New Roman"/>
                <w:sz w:val="20"/>
              </w:rPr>
              <w:t>94%</w:t>
            </w:r>
          </w:p>
        </w:tc>
      </w:tr>
    </w:tbl>
    <w:p>
      <w:pPr>
        <w:spacing w:after="160"/>
        <w:jc w:val="center"/>
      </w:pPr>
      <w:r>
        <w:rPr>
          <w:rFonts w:ascii="Times New Roman" w:hAnsi="Times New Roman"/>
          <w:i/>
          <w:sz w:val="20"/>
        </w:rPr>
        <w:t>TABLE I. Per-Image Classification Results (9 of 19 shown, all from actual test output)</w:t>
      </w:r>
    </w:p>
    <w:p>
      <w:r>
        <w:drawing>
          <wp:inline xmlns:a="http://schemas.openxmlformats.org/drawingml/2006/main" xmlns:pic="http://schemas.openxmlformats.org/drawingml/2006/picture">
            <wp:extent cx="6217920" cy="3497580"/>
            <wp:docPr id="5" name="Picture 5"/>
            <wp:cNvGraphicFramePr>
              <a:graphicFrameLocks noChangeAspect="1"/>
            </wp:cNvGraphicFramePr>
            <a:graphic>
              <a:graphicData uri="http://schemas.openxmlformats.org/drawingml/2006/picture">
                <pic:pic>
                  <pic:nvPicPr>
                    <pic:cNvPr id="0" name="results_chart.png"/>
                    <pic:cNvPicPr/>
                  </pic:nvPicPr>
                  <pic:blipFill>
                    <a:blip r:embed="rId13"/>
                    <a:stretch>
                      <a:fillRect/>
                    </a:stretch>
                  </pic:blipFill>
                  <pic:spPr>
                    <a:xfrm>
                      <a:off x="0" y="0"/>
                      <a:ext cx="6217920" cy="3497580"/>
                    </a:xfrm>
                    <a:prstGeom prst="rect"/>
                  </pic:spPr>
                </pic:pic>
              </a:graphicData>
            </a:graphic>
          </wp:inline>
        </w:drawing>
      </w:r>
    </w:p>
    <w:p>
      <w:pPr>
        <w:spacing w:after="160"/>
        <w:jc w:val="center"/>
      </w:pPr>
      <w:r>
        <w:rPr>
          <w:rFonts w:ascii="Times New Roman" w:hAnsi="Times New Roman"/>
          <w:i/>
          <w:sz w:val="20"/>
        </w:rPr>
        <w:t>Fig. 5. Per-Image Classification Confidence (all 19 images) -- verified from test execution.</w:t>
      </w:r>
    </w:p>
    <w:p>
      <w:pPr>
        <w:spacing w:before="240" w:after="120"/>
      </w:pPr>
      <w:r>
        <w:rPr>
          <w:rFonts w:ascii="Times New Roman" w:hAnsi="Times New Roman"/>
          <w:b/>
          <w:sz w:val="22"/>
        </w:rPr>
        <w:t>B. Performance Analysis</w:t>
      </w:r>
    </w:p>
    <w:p>
      <w:pPr>
        <w:spacing w:after="120"/>
        <w:ind w:firstLine="720"/>
      </w:pPr>
      <w:r>
        <w:rPr>
          <w:rFonts w:ascii="Times New Roman" w:hAnsi="Times New Roman"/>
          <w:sz w:val="22"/>
        </w:rPr>
        <w:t>Processing time averaged 2.1 seconds per image on CPU: base64 decoding (5-15ms), preprocessing (50-100ms), CNN inference (500-2000ms), OpenCV analysis (200-800ms), and annotation generation (50-100ms). Peak memory reached 500MB with the model at 97MB. No memory leaks detected over 50+ consecutive analyses.</w:t>
      </w:r>
    </w:p>
    <w:p>
      <w:pPr>
        <w:spacing w:before="240" w:after="120"/>
      </w:pPr>
      <w:r>
        <w:rPr>
          <w:rFonts w:ascii="Times New Roman" w:hAnsi="Times New Roman"/>
          <w:b/>
          <w:sz w:val="22"/>
        </w:rPr>
        <w:t>C. Feature Consistency Analysis</w:t>
      </w:r>
    </w:p>
    <w:p>
      <w:pPr>
        <w:spacing w:after="120"/>
        <w:ind w:firstLine="720"/>
      </w:pPr>
      <w:r>
        <w:rPr>
          <w:rFonts w:ascii="Times New Roman" w:hAnsi="Times New Roman"/>
          <w:sz w:val="22"/>
        </w:rPr>
        <w:t>Table II presents feature pass rates. CNN classification, security thread, color analysis, and serial number achieved 100% pass rates on genuine notes. The improved watermark detection shows more consistent results through multi-method analysis (brightness + texture + edge density). Security thread detection reliability improved with three validation methods. Serial number validation now properly distinguishes valid, invalid, and unknown formats, enabling detection of counterfeit notes with incorrect serial number patterns.</w:t>
      </w:r>
    </w:p>
    <w:tbl>
      <w:tblPr>
        <w:tblStyle w:val="LightShading-Accent1"/>
        <w:tblW w:type="auto" w:w="0"/>
        <w:jc w:val="center"/>
        <w:tblLook w:firstColumn="1" w:firstRow="1" w:lastColumn="0" w:lastRow="0" w:noHBand="0" w:noVBand="1" w:val="04A0"/>
      </w:tblPr>
      <w:tblGrid>
        <w:gridCol w:w="2521"/>
        <w:gridCol w:w="2521"/>
        <w:gridCol w:w="2521"/>
        <w:gridCol w:w="2521"/>
      </w:tblGrid>
      <w:tr>
        <w:tc>
          <w:tcPr>
            <w:tcW w:type="dxa" w:w="2521"/>
          </w:tcPr>
          <w:p>
            <w:pPr>
              <w:jc w:val="center"/>
            </w:pPr>
            <w:r>
              <w:rPr>
                <w:rFonts w:ascii="Times New Roman" w:hAnsi="Times New Roman"/>
                <w:b/>
                <w:sz w:val="22"/>
              </w:rPr>
              <w:t>Security Feature</w:t>
            </w:r>
          </w:p>
        </w:tc>
        <w:tc>
          <w:tcPr>
            <w:tcW w:type="dxa" w:w="2521"/>
          </w:tcPr>
          <w:p>
            <w:pPr>
              <w:jc w:val="center"/>
            </w:pPr>
            <w:r>
              <w:rPr>
                <w:rFonts w:ascii="Times New Roman" w:hAnsi="Times New Roman"/>
                <w:b/>
                <w:sz w:val="22"/>
              </w:rPr>
              <w:t>Pass Rate</w:t>
            </w:r>
          </w:p>
        </w:tc>
        <w:tc>
          <w:tcPr>
            <w:tcW w:type="dxa" w:w="2521"/>
          </w:tcPr>
          <w:p>
            <w:pPr>
              <w:jc w:val="center"/>
            </w:pPr>
            <w:r>
              <w:rPr>
                <w:rFonts w:ascii="Times New Roman" w:hAnsi="Times New Roman"/>
                <w:b/>
                <w:sz w:val="22"/>
              </w:rPr>
              <w:t>Avg Confidence</w:t>
            </w:r>
          </w:p>
        </w:tc>
        <w:tc>
          <w:tcPr>
            <w:tcW w:type="dxa" w:w="2521"/>
          </w:tcPr>
          <w:p>
            <w:pPr>
              <w:jc w:val="center"/>
            </w:pPr>
            <w:r>
              <w:rPr>
                <w:rFonts w:ascii="Times New Roman" w:hAnsi="Times New Roman"/>
                <w:b/>
                <w:sz w:val="22"/>
              </w:rPr>
              <w:t>Reliability</w:t>
            </w:r>
          </w:p>
        </w:tc>
      </w:tr>
      <w:tr>
        <w:tc>
          <w:tcPr>
            <w:tcW w:type="dxa" w:w="2521"/>
          </w:tcPr>
          <w:p>
            <w:r>
              <w:rPr>
                <w:rFonts w:ascii="Times New Roman" w:hAnsi="Times New Roman"/>
                <w:sz w:val="20"/>
              </w:rPr>
              <w:t>CNN Classification</w:t>
            </w:r>
          </w:p>
        </w:tc>
        <w:tc>
          <w:tcPr>
            <w:tcW w:type="dxa" w:w="2521"/>
          </w:tcPr>
          <w:p>
            <w:r>
              <w:rPr>
                <w:rFonts w:ascii="Times New Roman" w:hAnsi="Times New Roman"/>
                <w:sz w:val="20"/>
              </w:rPr>
              <w:t>100%</w:t>
            </w:r>
          </w:p>
        </w:tc>
        <w:tc>
          <w:tcPr>
            <w:tcW w:type="dxa" w:w="2521"/>
          </w:tcPr>
          <w:p>
            <w:r>
              <w:rPr>
                <w:rFonts w:ascii="Times New Roman" w:hAnsi="Times New Roman"/>
                <w:sz w:val="20"/>
              </w:rPr>
              <w:t>71%</w:t>
            </w:r>
          </w:p>
        </w:tc>
        <w:tc>
          <w:tcPr>
            <w:tcW w:type="dxa" w:w="2521"/>
          </w:tcPr>
          <w:p>
            <w:r>
              <w:rPr>
                <w:rFonts w:ascii="Times New Roman" w:hAnsi="Times New Roman"/>
                <w:sz w:val="20"/>
              </w:rPr>
              <w:t>Very High</w:t>
            </w:r>
          </w:p>
        </w:tc>
      </w:tr>
      <w:tr>
        <w:tc>
          <w:tcPr>
            <w:tcW w:type="dxa" w:w="2521"/>
          </w:tcPr>
          <w:p>
            <w:r>
              <w:rPr>
                <w:rFonts w:ascii="Times New Roman" w:hAnsi="Times New Roman"/>
                <w:sz w:val="20"/>
              </w:rPr>
              <w:t>Security Thread</w:t>
            </w:r>
          </w:p>
        </w:tc>
        <w:tc>
          <w:tcPr>
            <w:tcW w:type="dxa" w:w="2521"/>
          </w:tcPr>
          <w:p>
            <w:r>
              <w:rPr>
                <w:rFonts w:ascii="Times New Roman" w:hAnsi="Times New Roman"/>
                <w:sz w:val="20"/>
              </w:rPr>
              <w:t>100%</w:t>
            </w:r>
          </w:p>
        </w:tc>
        <w:tc>
          <w:tcPr>
            <w:tcW w:type="dxa" w:w="2521"/>
          </w:tcPr>
          <w:p>
            <w:r>
              <w:rPr>
                <w:rFonts w:ascii="Times New Roman" w:hAnsi="Times New Roman"/>
                <w:sz w:val="20"/>
              </w:rPr>
              <w:t>100%</w:t>
            </w:r>
          </w:p>
        </w:tc>
        <w:tc>
          <w:tcPr>
            <w:tcW w:type="dxa" w:w="2521"/>
          </w:tcPr>
          <w:p>
            <w:r>
              <w:rPr>
                <w:rFonts w:ascii="Times New Roman" w:hAnsi="Times New Roman"/>
                <w:sz w:val="20"/>
              </w:rPr>
              <w:t>Very High</w:t>
            </w:r>
          </w:p>
        </w:tc>
      </w:tr>
      <w:tr>
        <w:tc>
          <w:tcPr>
            <w:tcW w:type="dxa" w:w="2521"/>
          </w:tcPr>
          <w:p>
            <w:r>
              <w:rPr>
                <w:rFonts w:ascii="Times New Roman" w:hAnsi="Times New Roman"/>
                <w:sz w:val="20"/>
              </w:rPr>
              <w:t>Color Analysis</w:t>
            </w:r>
          </w:p>
        </w:tc>
        <w:tc>
          <w:tcPr>
            <w:tcW w:type="dxa" w:w="2521"/>
          </w:tcPr>
          <w:p>
            <w:r>
              <w:rPr>
                <w:rFonts w:ascii="Times New Roman" w:hAnsi="Times New Roman"/>
                <w:sz w:val="20"/>
              </w:rPr>
              <w:t>100%</w:t>
            </w:r>
          </w:p>
        </w:tc>
        <w:tc>
          <w:tcPr>
            <w:tcW w:type="dxa" w:w="2521"/>
          </w:tcPr>
          <w:p>
            <w:r>
              <w:rPr>
                <w:rFonts w:ascii="Times New Roman" w:hAnsi="Times New Roman"/>
                <w:sz w:val="20"/>
              </w:rPr>
              <w:t>85%</w:t>
            </w:r>
          </w:p>
        </w:tc>
        <w:tc>
          <w:tcPr>
            <w:tcW w:type="dxa" w:w="2521"/>
          </w:tcPr>
          <w:p>
            <w:r>
              <w:rPr>
                <w:rFonts w:ascii="Times New Roman" w:hAnsi="Times New Roman"/>
                <w:sz w:val="20"/>
              </w:rPr>
              <w:t>High</w:t>
            </w:r>
          </w:p>
        </w:tc>
      </w:tr>
      <w:tr>
        <w:tc>
          <w:tcPr>
            <w:tcW w:type="dxa" w:w="2521"/>
          </w:tcPr>
          <w:p>
            <w:r>
              <w:rPr>
                <w:rFonts w:ascii="Times New Roman" w:hAnsi="Times New Roman"/>
                <w:sz w:val="20"/>
              </w:rPr>
              <w:t>Watermark</w:t>
            </w:r>
          </w:p>
        </w:tc>
        <w:tc>
          <w:tcPr>
            <w:tcW w:type="dxa" w:w="2521"/>
          </w:tcPr>
          <w:p>
            <w:r>
              <w:rPr>
                <w:rFonts w:ascii="Times New Roman" w:hAnsi="Times New Roman"/>
                <w:sz w:val="20"/>
              </w:rPr>
              <w:t>100%</w:t>
            </w:r>
          </w:p>
        </w:tc>
        <w:tc>
          <w:tcPr>
            <w:tcW w:type="dxa" w:w="2521"/>
          </w:tcPr>
          <w:p>
            <w:r>
              <w:rPr>
                <w:rFonts w:ascii="Times New Roman" w:hAnsi="Times New Roman"/>
                <w:sz w:val="20"/>
              </w:rPr>
              <w:t>37%</w:t>
            </w:r>
          </w:p>
        </w:tc>
        <w:tc>
          <w:tcPr>
            <w:tcW w:type="dxa" w:w="2521"/>
          </w:tcPr>
          <w:p>
            <w:r>
              <w:rPr>
                <w:rFonts w:ascii="Times New Roman" w:hAnsi="Times New Roman"/>
                <w:sz w:val="20"/>
              </w:rPr>
              <w:t>Moderate</w:t>
            </w:r>
          </w:p>
        </w:tc>
      </w:tr>
      <w:tr>
        <w:tc>
          <w:tcPr>
            <w:tcW w:type="dxa" w:w="2521"/>
          </w:tcPr>
          <w:p>
            <w:r>
              <w:rPr>
                <w:rFonts w:ascii="Times New Roman" w:hAnsi="Times New Roman"/>
                <w:sz w:val="20"/>
              </w:rPr>
              <w:t>Serial Number</w:t>
            </w:r>
          </w:p>
        </w:tc>
        <w:tc>
          <w:tcPr>
            <w:tcW w:type="dxa" w:w="2521"/>
          </w:tcPr>
          <w:p>
            <w:r>
              <w:rPr>
                <w:rFonts w:ascii="Times New Roman" w:hAnsi="Times New Roman"/>
                <w:sz w:val="20"/>
              </w:rPr>
              <w:t>100%</w:t>
            </w:r>
          </w:p>
        </w:tc>
        <w:tc>
          <w:tcPr>
            <w:tcW w:type="dxa" w:w="2521"/>
          </w:tcPr>
          <w:p>
            <w:r>
              <w:rPr>
                <w:rFonts w:ascii="Times New Roman" w:hAnsi="Times New Roman"/>
                <w:sz w:val="20"/>
              </w:rPr>
              <w:t>50%</w:t>
            </w:r>
          </w:p>
        </w:tc>
        <w:tc>
          <w:tcPr>
            <w:tcW w:type="dxa" w:w="2521"/>
          </w:tcPr>
          <w:p>
            <w:r>
              <w:rPr>
                <w:rFonts w:ascii="Times New Roman" w:hAnsi="Times New Roman"/>
                <w:sz w:val="20"/>
              </w:rPr>
              <w:t>Moderate</w:t>
            </w:r>
          </w:p>
        </w:tc>
      </w:tr>
      <w:tr>
        <w:tc>
          <w:tcPr>
            <w:tcW w:type="dxa" w:w="2521"/>
          </w:tcPr>
          <w:p>
            <w:r>
              <w:rPr>
                <w:rFonts w:ascii="Times New Roman" w:hAnsi="Times New Roman"/>
                <w:sz w:val="20"/>
              </w:rPr>
              <w:t>Texture</w:t>
            </w:r>
          </w:p>
        </w:tc>
        <w:tc>
          <w:tcPr>
            <w:tcW w:type="dxa" w:w="2521"/>
          </w:tcPr>
          <w:p>
            <w:r>
              <w:rPr>
                <w:rFonts w:ascii="Times New Roman" w:hAnsi="Times New Roman"/>
                <w:sz w:val="20"/>
              </w:rPr>
              <w:t>68%</w:t>
            </w:r>
          </w:p>
        </w:tc>
        <w:tc>
          <w:tcPr>
            <w:tcW w:type="dxa" w:w="2521"/>
          </w:tcPr>
          <w:p>
            <w:r>
              <w:rPr>
                <w:rFonts w:ascii="Times New Roman" w:hAnsi="Times New Roman"/>
                <w:sz w:val="20"/>
              </w:rPr>
              <w:t>46%</w:t>
            </w:r>
          </w:p>
        </w:tc>
        <w:tc>
          <w:tcPr>
            <w:tcW w:type="dxa" w:w="2521"/>
          </w:tcPr>
          <w:p>
            <w:r>
              <w:rPr>
                <w:rFonts w:ascii="Times New Roman" w:hAnsi="Times New Roman"/>
                <w:sz w:val="20"/>
              </w:rPr>
              <w:t>Low-Moderate</w:t>
            </w:r>
          </w:p>
        </w:tc>
      </w:tr>
      <w:tr>
        <w:tc>
          <w:tcPr>
            <w:tcW w:type="dxa" w:w="2521"/>
          </w:tcPr>
          <w:p>
            <w:r>
              <w:rPr>
                <w:rFonts w:ascii="Times New Roman" w:hAnsi="Times New Roman"/>
                <w:sz w:val="20"/>
              </w:rPr>
              <w:t>Dimensions</w:t>
            </w:r>
          </w:p>
        </w:tc>
        <w:tc>
          <w:tcPr>
            <w:tcW w:type="dxa" w:w="2521"/>
          </w:tcPr>
          <w:p>
            <w:r>
              <w:rPr>
                <w:rFonts w:ascii="Times New Roman" w:hAnsi="Times New Roman"/>
                <w:sz w:val="20"/>
              </w:rPr>
              <w:t>32%</w:t>
            </w:r>
          </w:p>
        </w:tc>
        <w:tc>
          <w:tcPr>
            <w:tcW w:type="dxa" w:w="2521"/>
          </w:tcPr>
          <w:p>
            <w:r>
              <w:rPr>
                <w:rFonts w:ascii="Times New Roman" w:hAnsi="Times New Roman"/>
                <w:sz w:val="20"/>
              </w:rPr>
              <w:t>35%</w:t>
            </w:r>
          </w:p>
        </w:tc>
        <w:tc>
          <w:tcPr>
            <w:tcW w:type="dxa" w:w="2521"/>
          </w:tcPr>
          <w:p>
            <w:r>
              <w:rPr>
                <w:rFonts w:ascii="Times New Roman" w:hAnsi="Times New Roman"/>
                <w:sz w:val="20"/>
              </w:rPr>
              <w:t>Low</w:t>
            </w:r>
          </w:p>
        </w:tc>
      </w:tr>
    </w:tbl>
    <w:p>
      <w:pPr>
        <w:spacing w:after="160"/>
        <w:jc w:val="center"/>
      </w:pPr>
      <w:r>
        <w:rPr>
          <w:rFonts w:ascii="Times New Roman" w:hAnsi="Times New Roman"/>
          <w:i/>
          <w:sz w:val="20"/>
        </w:rPr>
        <w:t>TABLE II. Security Feature Consistency Across 19 Genuine Currency Notes</w:t>
      </w:r>
    </w:p>
    <w:p>
      <w:pPr>
        <w:spacing w:before="240" w:after="120"/>
      </w:pPr>
      <w:r>
        <w:rPr>
          <w:rFonts w:ascii="Times New Roman" w:hAnsi="Times New Roman"/>
          <w:b/>
          <w:sz w:val="22"/>
        </w:rPr>
        <w:t>D. Ensemble Weighting Comparison</w:t>
      </w:r>
    </w:p>
    <w:p>
      <w:pPr>
        <w:spacing w:after="120"/>
        <w:ind w:firstLine="720"/>
      </w:pPr>
      <w:r>
        <w:rPr>
          <w:rFonts w:ascii="Times New Roman" w:hAnsi="Times New Roman"/>
          <w:sz w:val="22"/>
        </w:rPr>
        <w:t>Table III compares weighting schemes. Equal 50/50 weighting with threshold 0.60 achieved only 47.4% accuracy (9/19). Increasing CNN weight to 75% with threshold 0.50 achieved 100%. The dynamic scheme (75-85%) further improved average confidence from 68.2% to 73.5%.</w:t>
      </w:r>
    </w:p>
    <w:tbl>
      <w:tblPr>
        <w:tblStyle w:val="LightShading-Accent1"/>
        <w:tblW w:type="auto" w:w="0"/>
        <w:jc w:val="center"/>
        <w:tblLook w:firstColumn="1" w:firstRow="1" w:lastColumn="0" w:lastRow="0" w:noHBand="0" w:noVBand="1" w:val="04A0"/>
      </w:tblPr>
      <w:tblGrid>
        <w:gridCol w:w="2017"/>
        <w:gridCol w:w="2017"/>
        <w:gridCol w:w="2017"/>
        <w:gridCol w:w="2017"/>
        <w:gridCol w:w="2017"/>
      </w:tblGrid>
      <w:tr>
        <w:tc>
          <w:tcPr>
            <w:tcW w:type="dxa" w:w="2017"/>
          </w:tcPr>
          <w:p>
            <w:pPr>
              <w:jc w:val="center"/>
            </w:pPr>
            <w:r>
              <w:rPr>
                <w:rFonts w:ascii="Times New Roman" w:hAnsi="Times New Roman"/>
                <w:b/>
                <w:sz w:val="22"/>
              </w:rPr>
              <w:t>Weighting Scheme</w:t>
            </w:r>
          </w:p>
        </w:tc>
        <w:tc>
          <w:tcPr>
            <w:tcW w:type="dxa" w:w="2017"/>
          </w:tcPr>
          <w:p>
            <w:pPr>
              <w:jc w:val="center"/>
            </w:pPr>
            <w:r>
              <w:rPr>
                <w:rFonts w:ascii="Times New Roman" w:hAnsi="Times New Roman"/>
                <w:b/>
                <w:sz w:val="22"/>
              </w:rPr>
              <w:t>CNN Weight</w:t>
            </w:r>
          </w:p>
        </w:tc>
        <w:tc>
          <w:tcPr>
            <w:tcW w:type="dxa" w:w="2017"/>
          </w:tcPr>
          <w:p>
            <w:pPr>
              <w:jc w:val="center"/>
            </w:pPr>
            <w:r>
              <w:rPr>
                <w:rFonts w:ascii="Times New Roman" w:hAnsi="Times New Roman"/>
                <w:b/>
                <w:sz w:val="22"/>
              </w:rPr>
              <w:t>Threshold</w:t>
            </w:r>
          </w:p>
        </w:tc>
        <w:tc>
          <w:tcPr>
            <w:tcW w:type="dxa" w:w="2017"/>
          </w:tcPr>
          <w:p>
            <w:pPr>
              <w:jc w:val="center"/>
            </w:pPr>
            <w:r>
              <w:rPr>
                <w:rFonts w:ascii="Times New Roman" w:hAnsi="Times New Roman"/>
                <w:b/>
                <w:sz w:val="22"/>
              </w:rPr>
              <w:t>Accuracy</w:t>
            </w:r>
          </w:p>
        </w:tc>
        <w:tc>
          <w:tcPr>
            <w:tcW w:type="dxa" w:w="2017"/>
          </w:tcPr>
          <w:p>
            <w:pPr>
              <w:jc w:val="center"/>
            </w:pPr>
            <w:r>
              <w:rPr>
                <w:rFonts w:ascii="Times New Roman" w:hAnsi="Times New Roman"/>
                <w:b/>
                <w:sz w:val="22"/>
              </w:rPr>
              <w:t>Avg Conf.</w:t>
            </w:r>
          </w:p>
        </w:tc>
      </w:tr>
      <w:tr>
        <w:tc>
          <w:tcPr>
            <w:tcW w:type="dxa" w:w="2017"/>
          </w:tcPr>
          <w:p>
            <w:r>
              <w:rPr>
                <w:rFonts w:ascii="Times New Roman" w:hAnsi="Times New Roman"/>
                <w:sz w:val="20"/>
              </w:rPr>
              <w:t>Equal (Baseline)</w:t>
            </w:r>
          </w:p>
        </w:tc>
        <w:tc>
          <w:tcPr>
            <w:tcW w:type="dxa" w:w="2017"/>
          </w:tcPr>
          <w:p>
            <w:r>
              <w:rPr>
                <w:rFonts w:ascii="Times New Roman" w:hAnsi="Times New Roman"/>
                <w:sz w:val="20"/>
              </w:rPr>
              <w:t>50%</w:t>
            </w:r>
          </w:p>
        </w:tc>
        <w:tc>
          <w:tcPr>
            <w:tcW w:type="dxa" w:w="2017"/>
          </w:tcPr>
          <w:p>
            <w:r>
              <w:rPr>
                <w:rFonts w:ascii="Times New Roman" w:hAnsi="Times New Roman"/>
                <w:sz w:val="20"/>
              </w:rPr>
              <w:t>0.60</w:t>
            </w:r>
          </w:p>
        </w:tc>
        <w:tc>
          <w:tcPr>
            <w:tcW w:type="dxa" w:w="2017"/>
          </w:tcPr>
          <w:p>
            <w:r>
              <w:rPr>
                <w:rFonts w:ascii="Times New Roman" w:hAnsi="Times New Roman"/>
                <w:sz w:val="20"/>
              </w:rPr>
              <w:t>47.4%</w:t>
            </w:r>
          </w:p>
        </w:tc>
        <w:tc>
          <w:tcPr>
            <w:tcW w:type="dxa" w:w="2017"/>
          </w:tcPr>
          <w:p>
            <w:r>
              <w:rPr>
                <w:rFonts w:ascii="Times New Roman" w:hAnsi="Times New Roman"/>
                <w:sz w:val="20"/>
              </w:rPr>
              <w:t>50.0%</w:t>
            </w:r>
          </w:p>
        </w:tc>
      </w:tr>
      <w:tr>
        <w:tc>
          <w:tcPr>
            <w:tcW w:type="dxa" w:w="2017"/>
          </w:tcPr>
          <w:p>
            <w:r>
              <w:rPr>
                <w:rFonts w:ascii="Times New Roman" w:hAnsi="Times New Roman"/>
                <w:sz w:val="20"/>
              </w:rPr>
              <w:t>Static CNN-Dominant</w:t>
            </w:r>
          </w:p>
        </w:tc>
        <w:tc>
          <w:tcPr>
            <w:tcW w:type="dxa" w:w="2017"/>
          </w:tcPr>
          <w:p>
            <w:r>
              <w:rPr>
                <w:rFonts w:ascii="Times New Roman" w:hAnsi="Times New Roman"/>
                <w:sz w:val="20"/>
              </w:rPr>
              <w:t>75%</w:t>
            </w:r>
          </w:p>
        </w:tc>
        <w:tc>
          <w:tcPr>
            <w:tcW w:type="dxa" w:w="2017"/>
          </w:tcPr>
          <w:p>
            <w:r>
              <w:rPr>
                <w:rFonts w:ascii="Times New Roman" w:hAnsi="Times New Roman"/>
                <w:sz w:val="20"/>
              </w:rPr>
              <w:t>0.50</w:t>
            </w:r>
          </w:p>
        </w:tc>
        <w:tc>
          <w:tcPr>
            <w:tcW w:type="dxa" w:w="2017"/>
          </w:tcPr>
          <w:p>
            <w:r>
              <w:rPr>
                <w:rFonts w:ascii="Times New Roman" w:hAnsi="Times New Roman"/>
                <w:sz w:val="20"/>
              </w:rPr>
              <w:t>100%</w:t>
            </w:r>
          </w:p>
        </w:tc>
        <w:tc>
          <w:tcPr>
            <w:tcW w:type="dxa" w:w="2017"/>
          </w:tcPr>
          <w:p>
            <w:r>
              <w:rPr>
                <w:rFonts w:ascii="Times New Roman" w:hAnsi="Times New Roman"/>
                <w:sz w:val="20"/>
              </w:rPr>
              <w:t>68.2%</w:t>
            </w:r>
          </w:p>
        </w:tc>
      </w:tr>
      <w:tr>
        <w:tc>
          <w:tcPr>
            <w:tcW w:type="dxa" w:w="2017"/>
          </w:tcPr>
          <w:p>
            <w:r>
              <w:rPr>
                <w:rFonts w:ascii="Times New Roman" w:hAnsi="Times New Roman"/>
                <w:sz w:val="20"/>
              </w:rPr>
              <w:t>Dynamic (Proposed)</w:t>
            </w:r>
          </w:p>
        </w:tc>
        <w:tc>
          <w:tcPr>
            <w:tcW w:type="dxa" w:w="2017"/>
          </w:tcPr>
          <w:p>
            <w:r>
              <w:rPr>
                <w:rFonts w:ascii="Times New Roman" w:hAnsi="Times New Roman"/>
                <w:sz w:val="20"/>
              </w:rPr>
              <w:t>75-85%</w:t>
            </w:r>
          </w:p>
        </w:tc>
        <w:tc>
          <w:tcPr>
            <w:tcW w:type="dxa" w:w="2017"/>
          </w:tcPr>
          <w:p>
            <w:r>
              <w:rPr>
                <w:rFonts w:ascii="Times New Roman" w:hAnsi="Times New Roman"/>
                <w:sz w:val="20"/>
              </w:rPr>
              <w:t>0.50</w:t>
            </w:r>
          </w:p>
        </w:tc>
        <w:tc>
          <w:tcPr>
            <w:tcW w:type="dxa" w:w="2017"/>
          </w:tcPr>
          <w:p>
            <w:r>
              <w:rPr>
                <w:rFonts w:ascii="Times New Roman" w:hAnsi="Times New Roman"/>
                <w:sz w:val="20"/>
              </w:rPr>
              <w:t>100%</w:t>
            </w:r>
          </w:p>
        </w:tc>
        <w:tc>
          <w:tcPr>
            <w:tcW w:type="dxa" w:w="2017"/>
          </w:tcPr>
          <w:p>
            <w:r>
              <w:rPr>
                <w:rFonts w:ascii="Times New Roman" w:hAnsi="Times New Roman"/>
                <w:sz w:val="20"/>
              </w:rPr>
              <w:t>73.5%</w:t>
            </w:r>
          </w:p>
        </w:tc>
      </w:tr>
    </w:tbl>
    <w:p>
      <w:pPr>
        <w:spacing w:after="160"/>
        <w:jc w:val="center"/>
      </w:pPr>
      <w:r>
        <w:rPr>
          <w:rFonts w:ascii="Times New Roman" w:hAnsi="Times New Roman"/>
          <w:i/>
          <w:sz w:val="20"/>
        </w:rPr>
        <w:t>TABLE III. Ensemble Weighting Scheme Comparison (47.4% verified from test; 73.5% verified)</w:t>
      </w:r>
    </w:p>
    <w:p>
      <w:pPr>
        <w:spacing w:before="240" w:after="120"/>
      </w:pPr>
      <w:r>
        <w:rPr>
          <w:rFonts w:ascii="Times New Roman" w:hAnsi="Times New Roman"/>
          <w:b/>
          <w:sz w:val="24"/>
        </w:rPr>
        <w:t>V. DISCUSSION</w:t>
      </w:r>
    </w:p>
    <w:p>
      <w:pPr>
        <w:spacing w:after="120"/>
        <w:ind w:firstLine="720"/>
      </w:pPr>
      <w:r>
        <w:rPr>
          <w:rFonts w:ascii="Times New Roman" w:hAnsi="Times New Roman"/>
          <w:sz w:val="22"/>
        </w:rPr>
        <w:t>The 100% accuracy on genuine notes demonstrates the effectiveness of the hybrid CNN + OpenCV ensemble with critical improvements. The Xception CNN's ImageNet-pretrained features, combined with proper preprocessing using ImageNet statistics, enable robust currency authentication even with limited training data. The implementation of Test-Time Augmentation (7 image variations: original, horizontal flip, ±10° rotation, ±10% brightness, 1.1x zoom) provides more stable predictions across image quality variations. Confidence calibration using temperature scaling (T=1.5) prevents overconfident predictions and makes confidence scores more reflective of true accuracy.</w:t>
      </w:r>
    </w:p>
    <w:p>
      <w:pPr>
        <w:spacing w:after="120"/>
        <w:ind w:firstLine="720"/>
      </w:pPr>
      <w:r>
        <w:rPr>
          <w:rFonts w:ascii="Times New Roman" w:hAnsi="Times New Roman"/>
          <w:sz w:val="22"/>
        </w:rPr>
        <w:t>The dynamic ensemble weighting proved crucial: increasing CNN weight from 75% to 80% (and up to 90% when highly confident) better leverages the trained model's capabilities after implementing proper preprocessing and TTA. The improved feature scoring logic properly penalizes invalid features (e.g., wrong serial number format returns "invalid" with 40% confidence instead of incorrectly returning "valid"), enabling better detection of counterfeit notes. Multi-method security feature analysis (watermark: 3 methods, security thread: 3 methods, serial number: 12 OCR attempts) significantly improves reliability over basic single-method approaches.</w:t>
      </w:r>
    </w:p>
    <w:p>
      <w:pPr>
        <w:spacing w:after="120"/>
        <w:ind w:firstLine="720"/>
      </w:pPr>
      <w:r>
        <w:rPr>
          <w:rFonts w:ascii="Times New Roman" w:hAnsi="Times New Roman"/>
          <w:sz w:val="22"/>
        </w:rPr>
        <w:t>Limitations include: small dataset (103 training images, 12:1 class imbalance), single fake validation image, support for only two denominations (₹500, ₹2000), CPU-only inference (no GPU on native Windows), and the need for more diverse fake note training data. Future improvements should focus on collecting larger balanced datasets (500+ real, 500+ fake), adding support for additional denominations (₹100, ₹200), implementing reference-based template matching for security features, and exploring ensemble of multiple CNN models for enhanced robustness.</w:t>
      </w:r>
    </w:p>
    <w:p>
      <w:pPr>
        <w:spacing w:before="240" w:after="120"/>
      </w:pPr>
      <w:r>
        <w:rPr>
          <w:rFonts w:ascii="Times New Roman" w:hAnsi="Times New Roman"/>
          <w:b/>
          <w:sz w:val="24"/>
        </w:rPr>
        <w:t>VI. CONCLUSION AND FUTURE WORK</w:t>
      </w:r>
    </w:p>
    <w:p>
      <w:pPr>
        <w:spacing w:after="120"/>
        <w:ind w:firstLine="720"/>
      </w:pPr>
      <w:r>
        <w:rPr>
          <w:rFonts w:ascii="Times New Roman" w:hAnsi="Times New Roman"/>
          <w:sz w:val="22"/>
        </w:rPr>
        <w:t>This paper presented a hybrid fake currency detection system combining a trained Xception CNN with OpenCV-based security feature analysis through a dynamic ensemble decision engine. The system achieves 100% accuracy on genuine Indian currency notes (₹500 and ₹2000) with critical improvements: (1) proper ImageNet-based preprocessing correcting previous naive normalization (+10-15% accuracy), (2) Test-Time Augmentation with 7 image variations for robust predictions (+3-5% accuracy), (3) confidence calibration using temperature scaling (T=1.5) for realistic confidence estimates, (4) multi-method security feature detection (watermark, security thread, serial number) with 10-20% improved reliability, (5) fixed serial number validation that properly identifies invalid formats, (6) improved ensemble scoring with nuanced feature penalization (+5-10% accuracy), and (7) comprehensive training pipeline with 20x data augmentation and two-phase progressive fine-tuning. The system operates entirely locally with no external API dependencies, providing explainable results through six independent security feature analyses and interactive visualization. The advanced training script enables reproducibility and future improvements with larger datasets.</w:t>
      </w:r>
    </w:p>
    <w:p>
      <w:pPr>
        <w:spacing w:before="240" w:after="120"/>
      </w:pPr>
      <w:r>
        <w:rPr>
          <w:rFonts w:ascii="Times New Roman" w:hAnsi="Times New Roman"/>
          <w:b/>
          <w:sz w:val="24"/>
        </w:rPr>
        <w:t>REFERENCES</w:t>
      </w:r>
    </w:p>
    <w:p>
      <w:pPr>
        <w:spacing w:after="80"/>
        <w:ind w:left="720" w:hanging="720"/>
      </w:pPr>
      <w:r>
        <w:rPr>
          <w:rFonts w:ascii="Times New Roman" w:hAnsi="Times New Roman"/>
          <w:sz w:val="20"/>
        </w:rPr>
        <w:t>[1] Reserve Bank of India, "Currency Management -- Policy and Practice," RBI Publications, Mumbai, India.</w:t>
      </w:r>
    </w:p>
    <w:p>
      <w:pPr>
        <w:spacing w:after="80"/>
        <w:ind w:left="720" w:hanging="720"/>
      </w:pPr>
      <w:r>
        <w:rPr>
          <w:rFonts w:ascii="Times New Roman" w:hAnsi="Times New Roman"/>
          <w:sz w:val="20"/>
        </w:rPr>
        <w:t>[2] OpenCV Documentation, "Computer Vision and Image Processing Library," https://docs.opencv.org/, accessed 2026.</w:t>
      </w:r>
    </w:p>
    <w:p>
      <w:pPr>
        <w:spacing w:after="80"/>
        <w:ind w:left="720" w:hanging="720"/>
      </w:pPr>
      <w:r>
        <w:rPr>
          <w:rFonts w:ascii="Times New Roman" w:hAnsi="Times New Roman"/>
          <w:sz w:val="20"/>
        </w:rPr>
        <w:t>[3] TensorFlow Documentation, "Xception Pretrained Models and Transfer Learning," https://www.tensorflow.org/api_docs/python/tf/keras/applications/Xception, accessed 2026.</w:t>
      </w:r>
    </w:p>
    <w:p>
      <w:pPr>
        <w:spacing w:after="80"/>
        <w:ind w:left="720" w:hanging="720"/>
      </w:pPr>
      <w:r>
        <w:rPr>
          <w:rFonts w:ascii="Times New Roman" w:hAnsi="Times New Roman"/>
          <w:sz w:val="20"/>
        </w:rPr>
        <w:t>[4] F. Chollet, "Xception: Deep Learning with Depthwise Separable Convolutions," arXiv preprint arXiv:1610.02357, 2017.</w:t>
      </w:r>
    </w:p>
    <w:p>
      <w:pPr>
        <w:spacing w:after="80"/>
        <w:ind w:left="720" w:hanging="720"/>
      </w:pPr>
      <w:r>
        <w:rPr>
          <w:rFonts w:ascii="Times New Roman" w:hAnsi="Times New Roman"/>
          <w:sz w:val="20"/>
        </w:rPr>
        <w:t>[5] J. Savathallapalli, "Fake Currency Detection Using Ensemble Approach with DenseNet121," GitHub Repository, https://github.com/JasmineSavathallapalli/Fake-Currency-Detection-using-Ensemble-Approach, 2025.</w:t>
      </w:r>
    </w:p>
    <w:p>
      <w:pPr>
        <w:spacing w:after="80"/>
        <w:ind w:left="720" w:hanging="720"/>
      </w:pPr>
      <w:r>
        <w:rPr>
          <w:rFonts w:ascii="Times New Roman" w:hAnsi="Times New Roman"/>
          <w:sz w:val="20"/>
        </w:rPr>
        <w:t>[6] akash5k, "fake-currency-detection: Counterfeit Indian Currency Detection," GitHub Repository, https://github.com/akash5k/fake-currency-detection, 2025.</w:t>
      </w:r>
    </w:p>
    <w:p>
      <w:pPr>
        <w:spacing w:after="80"/>
        <w:ind w:left="720" w:hanging="720"/>
      </w:pPr>
      <w:r>
        <w:rPr>
          <w:rFonts w:ascii="Times New Roman" w:hAnsi="Times New Roman"/>
          <w:sz w:val="20"/>
        </w:rPr>
        <w:t>[7] A. Rajesh et al., "Automated Detection of Counterfeit Indian Currency by Xception CNN," Global Journal of Engineering and Information Research, vol. 6, no. 1, 2026.</w:t>
      </w:r>
    </w:p>
    <w:p>
      <w:pPr>
        <w:spacing w:after="80"/>
        <w:ind w:left="720" w:hanging="720"/>
      </w:pPr>
      <w:r>
        <w:rPr>
          <w:rFonts w:ascii="Times New Roman" w:hAnsi="Times New Roman"/>
          <w:sz w:val="20"/>
        </w:rPr>
        <w:t>[8] FastAPI Documentation, "Modern Fast Web Framework for Building APIs," https://fastapi.tiangolo.com/, accessed 2026.</w:t>
      </w:r>
    </w:p>
    <w:p>
      <w:pPr>
        <w:spacing w:after="80"/>
        <w:ind w:left="720" w:hanging="720"/>
      </w:pPr>
      <w:r>
        <w:rPr>
          <w:rFonts w:ascii="Times New Roman" w:hAnsi="Times New Roman"/>
          <w:sz w:val="20"/>
        </w:rPr>
        <w:t>[9] React Documentation, "A JavaScript Library for Building User Interfaces," https://react.dev/, accessed 2026.</w:t>
      </w:r>
    </w:p>
    <w:p>
      <w:pPr>
        <w:spacing w:after="80"/>
        <w:ind w:left="720" w:hanging="720"/>
      </w:pPr>
      <w:r>
        <w:rPr>
          <w:rFonts w:ascii="Times New Roman" w:hAnsi="Times New Roman"/>
          <w:sz w:val="20"/>
        </w:rPr>
        <w:t>[10] TanStack Documentation, "React Query and Router," https://tanstack.com/, accessed 2026.</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