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Enhanced Fake Currency Detection System Using Multi-Feature PyTorch Ensemble with Critical Feature Analysis</w:t>
      </w:r>
    </w:p>
    <w:p>
      <w:pPr>
        <w:jc w:val="center"/>
      </w:pPr>
      <w:r>
        <w:rPr>
          <w:rFonts w:ascii="Times New Roman" w:hAnsi="Times New Roman"/>
          <w:i/>
          <w:sz w:val="22"/>
        </w:rPr>
        <w:t>Fake Currency Detection System Research Team</w:t>
      </w:r>
    </w:p>
    <w:p/>
    <w:p>
      <w:r>
        <w:rPr>
          <w:rFonts w:ascii="Times New Roman" w:hAnsi="Times New Roman"/>
          <w:b/>
          <w:sz w:val="20"/>
        </w:rPr>
        <w:t>Abstract—</w:t>
      </w:r>
    </w:p>
    <w:p>
      <w:r>
        <w:rPr>
          <w:rFonts w:ascii="Times New Roman" w:hAnsi="Times New Roman"/>
          <w:sz w:val="20"/>
        </w:rPr>
        <w:t>Counterfeit currency poses a significant threat to global economies, with India experiencing increasing sophistication in counterfeit note production across ₹500 and ₹2000 denominations. This paper presents an enhanced Fake Currency Detection System that analyzes 15 security features using a hybrid ensemble approach combining a fine-tuned PyTorch Xception Convolutional Neural Network (CNN) with comprehensive OpenCV-based computer vision analysis. The system introduces a novel Critical Feature Failure Detection mechanism that prioritizes security-critical features (Security Thread, Watermark, Serial Number) and overrides ensemble predictions when these features fail. Training on a dataset of 7,442 images with class-balanced weighted loss (8.5:1 ratio handled via weighted BCELoss) yields 92.88% accuracy with 78.33% fake detection rate and 100% real detection rate, significantly outperforming previous approaches that achieved 0% fake detection due to class imbalance. Each feature is independently scored and weighted by importance according to Reserve Bank of India (RBI) specifications, providing granular explainability for authentication decisions. The system processes currency images in 1-3 seconds on CPU, with GPU acceleration (CUDA 11.8) providing 3-5x speedup.</w:t>
      </w:r>
    </w:p>
    <w:p>
      <w:r>
        <w:rPr>
          <w:rFonts w:ascii="Times New Roman" w:hAnsi="Times New Roman"/>
          <w:b/>
          <w:sz w:val="20"/>
        </w:rPr>
        <w:t>Keywords—</w:t>
      </w:r>
      <w:r>
        <w:rPr>
          <w:rFonts w:ascii="Times New Roman" w:hAnsi="Times New Roman"/>
          <w:i/>
          <w:sz w:val="20"/>
        </w:rPr>
        <w:t>Currency Authentication, Counterfeit Detection, PyTorch, Xception CNN, OpenCV, Ensemble Learning, Feature Engineering, Indian Rupee, Computer Vision, Security Features, Class Imbalance</w:t>
      </w:r>
    </w:p>
    <w:p>
      <w:r>
        <w:br w:type="page"/>
      </w:r>
    </w:p>
    <w:p>
      <w:pPr>
        <w:pStyle w:val="Heading1"/>
      </w:pPr>
      <w:r>
        <w:rPr>
          <w:rFonts w:ascii="Times New Roman" w:hAnsi="Times New Roman"/>
          <w:sz w:val="24"/>
        </w:rPr>
        <w:t>I. Introduction</w:t>
      </w:r>
    </w:p>
    <w:p>
      <w:pPr>
        <w:pStyle w:val="Heading2"/>
      </w:pPr>
      <w:r>
        <w:rPr>
          <w:rFonts w:ascii="Times New Roman" w:hAnsi="Times New Roman"/>
          <w:sz w:val="22"/>
        </w:rPr>
        <w:t>A. Problem Statement</w:t>
      </w:r>
    </w:p>
    <w:p>
      <w:r>
        <w:rPr>
          <w:rFonts w:ascii="Times New Roman" w:hAnsi="Times New Roman"/>
          <w:sz w:val="20"/>
        </w:rPr>
        <w:t>The Reserve Bank of India (RBI) reports an increasing incidence of counterfeit currency notes, with sophisticated fake notes circulating across ₹100, ₹200, ₹500, and ₹2000 denominations. Traditional detection methods rely on manual inspection by trained personnel or expensive hardware-based validators costing $5,000-$20,000, neither of which scales well for widespread deployment in developing economies where small retailers and banks need affordable solutions.</w:t>
      </w:r>
    </w:p>
    <w:p>
      <w:pPr>
        <w:pStyle w:val="Heading2"/>
      </w:pPr>
      <w:r>
        <w:rPr>
          <w:rFonts w:ascii="Times New Roman" w:hAnsi="Times New Roman"/>
          <w:sz w:val="22"/>
        </w:rPr>
        <w:t>B. Motivation</w:t>
      </w:r>
    </w:p>
    <w:p>
      <w:r>
        <w:rPr>
          <w:rFonts w:ascii="Times New Roman" w:hAnsi="Times New Roman"/>
          <w:sz w:val="20"/>
        </w:rPr>
        <w:t>Previous machine learning approaches for currency authentication suffered from three critical limitations:</w:t>
      </w:r>
    </w:p>
    <w:p>
      <w:pPr>
        <w:pStyle w:val="ListBullet"/>
      </w:pPr>
      <w:r>
        <w:rPr>
          <w:rFonts w:ascii="Times New Roman" w:hAnsi="Times New Roman"/>
          <w:b/>
          <w:sz w:val="20"/>
        </w:rPr>
        <w:t xml:space="preserve">Severe Class Imbalance: </w:t>
      </w:r>
      <w:r>
        <w:rPr>
          <w:rFonts w:ascii="Times New Roman" w:hAnsi="Times New Roman"/>
          <w:sz w:val="20"/>
        </w:rPr>
        <w:t>Training datasets typically contain 10:1 or higher real-to-fake ratios, causing models to learn "what real looks like" perfectly while failing to detect any fakes (0% fake detection rate in our baseline).</w:t>
      </w:r>
    </w:p>
    <w:p>
      <w:pPr>
        <w:pStyle w:val="ListBullet"/>
      </w:pPr>
      <w:r>
        <w:rPr>
          <w:rFonts w:ascii="Times New Roman" w:hAnsi="Times New Roman"/>
          <w:b/>
          <w:sz w:val="20"/>
        </w:rPr>
        <w:t xml:space="preserve">Black-Box Predictions: </w:t>
      </w:r>
      <w:r>
        <w:rPr>
          <w:rFonts w:ascii="Times New Roman" w:hAnsi="Times New Roman"/>
          <w:sz w:val="20"/>
        </w:rPr>
        <w:t>CNN-only approaches provide binary real/fake outputs without explainability, making it impossible for users to understand why a note was rejected.</w:t>
      </w:r>
    </w:p>
    <w:p>
      <w:pPr>
        <w:pStyle w:val="ListBullet"/>
      </w:pPr>
      <w:r>
        <w:rPr>
          <w:rFonts w:ascii="Times New Roman" w:hAnsi="Times New Roman"/>
          <w:b/>
          <w:sz w:val="20"/>
        </w:rPr>
        <w:t xml:space="preserve">Framework Lock-in: </w:t>
      </w:r>
      <w:r>
        <w:rPr>
          <w:rFonts w:ascii="Times New Roman" w:hAnsi="Times New Roman"/>
          <w:sz w:val="20"/>
        </w:rPr>
        <w:t>TensorFlow dependency limits deployment flexibility, especially on edge devices and systems with specific framework requirements.</w:t>
      </w:r>
    </w:p>
    <w:p>
      <w:pPr>
        <w:pStyle w:val="Heading2"/>
      </w:pPr>
      <w:r>
        <w:rPr>
          <w:rFonts w:ascii="Times New Roman" w:hAnsi="Times New Roman"/>
          <w:sz w:val="22"/>
        </w:rPr>
        <w:t>C. Contributions</w:t>
      </w:r>
    </w:p>
    <w:p>
      <w:r>
        <w:rPr>
          <w:rFonts w:ascii="Times New Roman" w:hAnsi="Times New Roman"/>
          <w:sz w:val="20"/>
        </w:rPr>
        <w:t>This paper makes five key contributions:</w:t>
      </w:r>
    </w:p>
    <w:p>
      <w:pPr>
        <w:pStyle w:val="ListNumber"/>
      </w:pPr>
      <w:r>
        <w:rPr>
          <w:rFonts w:ascii="Times New Roman" w:hAnsi="Times New Roman"/>
          <w:sz w:val="20"/>
        </w:rPr>
        <w:t>15-Security-Feature Analysis: Comprehensive detection of all major RBI-specified security features with independent scoring and confidence metrics.</w:t>
      </w:r>
    </w:p>
    <w:p>
      <w:pPr>
        <w:pStyle w:val="ListNumber"/>
      </w:pPr>
      <w:r>
        <w:rPr>
          <w:rFonts w:ascii="Times New Roman" w:hAnsi="Times New Roman"/>
          <w:sz w:val="20"/>
        </w:rPr>
        <w:t>Critical Feature Override Logic: Novel mechanism that prioritizes mission-critical features (Security Thread, Watermark, Serial Number) and overrides ensemble predictions when these fail, reducing false positives by 40-60%.</w:t>
      </w:r>
    </w:p>
    <w:p>
      <w:pPr>
        <w:pStyle w:val="ListNumber"/>
      </w:pPr>
      <w:r>
        <w:rPr>
          <w:rFonts w:ascii="Times New Roman" w:hAnsi="Times New Roman"/>
          <w:sz w:val="20"/>
        </w:rPr>
        <w:t>Class-Balanced PyTorch Training: Weighted Binary Cross-Entropy Loss with 8.5x weight for the minority class (fake notes), improving fake detection from 0% to 78.33% while maintaining 100% real detection.</w:t>
      </w:r>
    </w:p>
    <w:p>
      <w:pPr>
        <w:pStyle w:val="ListNumber"/>
      </w:pPr>
      <w:r>
        <w:rPr>
          <w:rFonts w:ascii="Times New Roman" w:hAnsi="Times New Roman"/>
          <w:sz w:val="20"/>
        </w:rPr>
        <w:t>Weighted Ensemble Engine: Dynamic weighting based on feature importance (aligned with RBI specifications) and CNN confidence, with adjustable CNN vs. OpenCV balance.</w:t>
      </w:r>
    </w:p>
    <w:p>
      <w:pPr>
        <w:pStyle w:val="ListNumber"/>
      </w:pPr>
      <w:r>
        <w:rPr>
          <w:rFonts w:ascii="Times New Roman" w:hAnsi="Times New Roman"/>
          <w:sz w:val="20"/>
        </w:rPr>
        <w:t>Production-Ready System: Full-stack web application with real-time analysis (1-3 seconds), explainable results (per-feature scores), and framework flexibility (PyTorch with CUDA support).</w:t>
      </w:r>
    </w:p>
    <w:p>
      <w:r>
        <w:br w:type="page"/>
      </w:r>
    </w:p>
    <w:p>
      <w:pPr>
        <w:pStyle w:val="Heading1"/>
      </w:pPr>
      <w:r>
        <w:rPr>
          <w:rFonts w:ascii="Times New Roman" w:hAnsi="Times New Roman"/>
          <w:sz w:val="24"/>
        </w:rPr>
        <w:t>II. Indian Currency Security Features</w:t>
      </w:r>
    </w:p>
    <w:p>
      <w:pPr>
        <w:pStyle w:val="Heading2"/>
      </w:pPr>
      <w:r>
        <w:rPr>
          <w:rFonts w:ascii="Times New Roman" w:hAnsi="Times New Roman"/>
          <w:sz w:val="22"/>
        </w:rPr>
        <w:t>A. RBI-Defined Security Features</w:t>
      </w:r>
    </w:p>
    <w:p>
      <w:r>
        <w:rPr>
          <w:rFonts w:ascii="Times New Roman" w:hAnsi="Times New Roman"/>
          <w:sz w:val="20"/>
        </w:rPr>
        <w:t>The Mahatma Gandhi New Series of Indian currency notes incorporates 15+ security features specified by the RBI [1]. We categorize them into three tiers based on counterfeiting difficulty and authentication importance:</w:t>
      </w:r>
    </w:p>
    <w:p>
      <w:pPr>
        <w:pStyle w:val="Heading3"/>
      </w:pPr>
      <w:r>
        <w:rPr>
          <w:rFonts w:ascii="Times New Roman" w:hAnsi="Times New Roman"/>
          <w:sz w:val="22"/>
        </w:rPr>
        <w:t>1) Critical Features (Must Pass for Authentication)</w:t>
      </w:r>
    </w:p>
    <w:p>
      <w:pPr>
        <w:pStyle w:val="ListBullet"/>
      </w:pPr>
      <w:r>
        <w:rPr>
          <w:rFonts w:ascii="Times New Roman" w:hAnsi="Times New Roman"/>
          <w:b/>
          <w:sz w:val="20"/>
        </w:rPr>
        <w:t xml:space="preserve">Security Thread: </w:t>
      </w:r>
      <w:r>
        <w:rPr>
          <w:rFonts w:ascii="Times New Roman" w:hAnsi="Times New Roman"/>
          <w:sz w:val="20"/>
        </w:rPr>
        <w:t>Windowed metallic thread with color-shifting properties (green→blue when tilted), inscribed with "भारत" (Bharat) and "RBI" in Devanagari script. Located in left-center region, runs vertically through the note. Extremely difficult to replicate; requires specialized manufacturing equipment unavailable to counterfeiters.</w:t>
      </w:r>
    </w:p>
    <w:p>
      <w:pPr>
        <w:pStyle w:val="ListBullet"/>
      </w:pPr>
      <w:r>
        <w:rPr>
          <w:rFonts w:ascii="Times New Roman" w:hAnsi="Times New Roman"/>
          <w:b/>
          <w:sz w:val="20"/>
        </w:rPr>
        <w:t xml:space="preserve">Watermark: </w:t>
      </w:r>
      <w:r>
        <w:rPr>
          <w:rFonts w:ascii="Times New Roman" w:hAnsi="Times New Roman"/>
          <w:sz w:val="20"/>
        </w:rPr>
        <w:t>Mahatma Gandhi portrait with multi-directional lines, visible when held to light. Located in right side of note within designated window. Requires specialized papermaking equipment with watermark cylinder—impossible to replicate with standard printing.</w:t>
      </w:r>
    </w:p>
    <w:p>
      <w:pPr>
        <w:pStyle w:val="ListBullet"/>
      </w:pPr>
      <w:r>
        <w:rPr>
          <w:rFonts w:ascii="Times New Roman" w:hAnsi="Times New Roman"/>
          <w:b/>
          <w:sz w:val="20"/>
        </w:rPr>
        <w:t xml:space="preserve">Serial Number (Novel Numbering): </w:t>
      </w:r>
      <w:r>
        <w:rPr>
          <w:rFonts w:ascii="Times New Roman" w:hAnsi="Times New Roman"/>
          <w:sz w:val="20"/>
        </w:rPr>
        <w:t>Six-digit progressive numbering where digits increase in size from left to right. Located top-left and bottom-right on front side. Printed with fluorescent ink that glows under UV light.</w:t>
      </w:r>
    </w:p>
    <w:p>
      <w:pPr>
        <w:pStyle w:val="Heading3"/>
      </w:pPr>
      <w:r>
        <w:rPr>
          <w:rFonts w:ascii="Times New Roman" w:hAnsi="Times New Roman"/>
          <w:sz w:val="22"/>
        </w:rPr>
        <w:t>2) Important Features (Strong Indicators)</w:t>
      </w:r>
    </w:p>
    <w:p>
      <w:pPr>
        <w:pStyle w:val="ListBullet"/>
      </w:pPr>
      <w:r>
        <w:rPr>
          <w:rFonts w:ascii="Times New Roman" w:hAnsi="Times New Roman"/>
          <w:b/>
          <w:sz w:val="20"/>
        </w:rPr>
        <w:t xml:space="preserve">Optically Variable Ink (OVI): </w:t>
      </w:r>
      <w:r>
        <w:rPr>
          <w:rFonts w:ascii="Times New Roman" w:hAnsi="Times New Roman"/>
          <w:sz w:val="20"/>
        </w:rPr>
        <w:t>Color-shifting denomination numeral that changes from green to blue when note is tilted. Present on ₹500 and ₹2000 notes. Uses specialized ink with optical interference effects.</w:t>
      </w:r>
    </w:p>
    <w:p>
      <w:pPr>
        <w:pStyle w:val="ListBullet"/>
      </w:pPr>
      <w:r>
        <w:rPr>
          <w:rFonts w:ascii="Times New Roman" w:hAnsi="Times New Roman"/>
          <w:b/>
          <w:sz w:val="20"/>
        </w:rPr>
        <w:t xml:space="preserve">Latent Image: </w:t>
      </w:r>
      <w:r>
        <w:rPr>
          <w:rFonts w:ascii="Times New Roman" w:hAnsi="Times New Roman"/>
          <w:sz w:val="20"/>
        </w:rPr>
        <w:t>Hidden denomination numeral visible only when note is held horizontally at eye level. Located in vertical band right of portrait.</w:t>
      </w:r>
    </w:p>
    <w:p>
      <w:pPr>
        <w:pStyle w:val="ListBullet"/>
      </w:pPr>
      <w:r>
        <w:rPr>
          <w:rFonts w:ascii="Times New Roman" w:hAnsi="Times New Roman"/>
          <w:b/>
          <w:sz w:val="20"/>
        </w:rPr>
        <w:t xml:space="preserve">Intaglio Printing: </w:t>
      </w:r>
      <w:r>
        <w:rPr>
          <w:rFonts w:ascii="Times New Roman" w:hAnsi="Times New Roman"/>
          <w:sz w:val="20"/>
        </w:rPr>
        <w:t>Raised ink printing technique applied to Mahatma Gandhi's portrait, RBI seal, guarantee clause, and Ashoka Pillar Emblem. Provides tactile verification.</w:t>
      </w:r>
    </w:p>
    <w:p>
      <w:pPr>
        <w:pStyle w:val="ListBullet"/>
      </w:pPr>
      <w:r>
        <w:rPr>
          <w:rFonts w:ascii="Times New Roman" w:hAnsi="Times New Roman"/>
          <w:b/>
          <w:sz w:val="20"/>
        </w:rPr>
        <w:t xml:space="preserve">See-Through Registration: </w:t>
      </w:r>
      <w:r>
        <w:rPr>
          <w:rFonts w:ascii="Times New Roman" w:hAnsi="Times New Roman"/>
          <w:sz w:val="20"/>
        </w:rPr>
        <w:t>Denomination numeral printed on both front and back that aligns perfectly when held to light. Requires precise manufacturing tolerances (±0.1mm).</w:t>
      </w:r>
    </w:p>
    <w:p>
      <w:pPr>
        <w:pStyle w:val="Heading2"/>
      </w:pPr>
      <w:r>
        <w:rPr>
          <w:rFonts w:ascii="Times New Roman" w:hAnsi="Times New Roman"/>
          <w:sz w:val="22"/>
        </w:rPr>
        <w:t>B. Feature Importance Hierarchy</w:t>
      </w:r>
    </w:p>
    <w:p>
      <w:r>
        <w:rPr>
          <w:rFonts w:ascii="Times New Roman" w:hAnsi="Times New Roman"/>
          <w:sz w:val="20"/>
        </w:rPr>
        <w:t>Not all features are equally important for authentication. Based on RBI specifications, counterfeiting difficulty, and expert consultation:</w:t>
      </w:r>
    </w:p>
    <w:tbl>
      <w:tblPr>
        <w:tblStyle w:val="TableGrid"/>
        <w:tblW w:type="auto" w:w="0"/>
        <w:jc w:val="center"/>
        <w:tblLook w:firstColumn="1" w:firstRow="1" w:lastColumn="0" w:lastRow="0" w:noHBand="0" w:noVBand="1" w:val="04A0"/>
      </w:tblPr>
      <w:tblGrid>
        <w:gridCol w:w="2518"/>
        <w:gridCol w:w="2518"/>
        <w:gridCol w:w="2518"/>
        <w:gridCol w:w="2518"/>
      </w:tblGrid>
      <w:tr>
        <w:tc>
          <w:tcPr>
            <w:tcW w:type="dxa" w:w="2518"/>
            <w:shd w:fill="2C3E50" w:val="clear"/>
          </w:tcPr>
          <w:p>
            <w:pPr>
              <w:jc w:val="center"/>
            </w:pPr>
            <w:r>
              <w:rPr>
                <w:b/>
                <w:color w:val="FFFFFF"/>
                <w:sz w:val="18"/>
              </w:rPr>
              <w:t>Priority</w:t>
            </w:r>
          </w:p>
        </w:tc>
        <w:tc>
          <w:tcPr>
            <w:tcW w:type="dxa" w:w="2518"/>
            <w:shd w:fill="2C3E50" w:val="clear"/>
          </w:tcPr>
          <w:p>
            <w:pPr>
              <w:jc w:val="center"/>
            </w:pPr>
            <w:r>
              <w:rPr>
                <w:b/>
                <w:color w:val="FFFFFF"/>
                <w:sz w:val="18"/>
              </w:rPr>
              <w:t>Features</w:t>
            </w:r>
          </w:p>
        </w:tc>
        <w:tc>
          <w:tcPr>
            <w:tcW w:type="dxa" w:w="2518"/>
            <w:shd w:fill="2C3E50" w:val="clear"/>
          </w:tcPr>
          <w:p>
            <w:pPr>
              <w:jc w:val="center"/>
            </w:pPr>
            <w:r>
              <w:rPr>
                <w:b/>
                <w:color w:val="FFFFFF"/>
                <w:sz w:val="18"/>
              </w:rPr>
              <w:t>Combined Weight</w:t>
            </w:r>
          </w:p>
        </w:tc>
        <w:tc>
          <w:tcPr>
            <w:tcW w:type="dxa" w:w="2518"/>
            <w:shd w:fill="2C3E50" w:val="clear"/>
          </w:tcPr>
          <w:p>
            <w:pPr>
              <w:jc w:val="center"/>
            </w:pPr>
            <w:r>
              <w:rPr>
                <w:b/>
                <w:color w:val="FFFFFF"/>
                <w:sz w:val="18"/>
              </w:rPr>
              <w:t>Counterfeiting Difficulty</w:t>
            </w:r>
          </w:p>
        </w:tc>
      </w:tr>
      <w:tr>
        <w:tc>
          <w:tcPr>
            <w:tcW w:type="dxa" w:w="2518"/>
          </w:tcPr>
          <w:p>
            <w:pPr>
              <w:jc w:val="center"/>
            </w:pPr>
            <w:r>
              <w:rPr>
                <w:sz w:val="18"/>
              </w:rPr>
              <w:t>Critical</w:t>
            </w:r>
          </w:p>
        </w:tc>
        <w:tc>
          <w:tcPr>
            <w:tcW w:type="dxa" w:w="2518"/>
          </w:tcPr>
          <w:p>
            <w:pPr>
              <w:jc w:val="center"/>
            </w:pPr>
            <w:r>
              <w:rPr>
                <w:sz w:val="18"/>
              </w:rPr>
              <w:t>Security Thread, Watermark, Serial Number</w:t>
            </w:r>
          </w:p>
        </w:tc>
        <w:tc>
          <w:tcPr>
            <w:tcW w:type="dxa" w:w="2518"/>
          </w:tcPr>
          <w:p>
            <w:pPr>
              <w:jc w:val="center"/>
            </w:pPr>
            <w:r>
              <w:rPr>
                <w:sz w:val="18"/>
              </w:rPr>
              <w:t>56.3%</w:t>
            </w:r>
          </w:p>
        </w:tc>
        <w:tc>
          <w:tcPr>
            <w:tcW w:type="dxa" w:w="2518"/>
          </w:tcPr>
          <w:p>
            <w:pPr>
              <w:jc w:val="center"/>
            </w:pPr>
            <w:r>
              <w:rPr>
                <w:sz w:val="18"/>
              </w:rPr>
              <w:t>Extremely High</w:t>
            </w:r>
          </w:p>
        </w:tc>
      </w:tr>
      <w:tr>
        <w:tc>
          <w:tcPr>
            <w:tcW w:type="dxa" w:w="2518"/>
            <w:shd w:fill="EBF5FB" w:val="clear"/>
          </w:tcPr>
          <w:p>
            <w:pPr>
              <w:jc w:val="center"/>
            </w:pPr>
            <w:r>
              <w:rPr>
                <w:sz w:val="18"/>
              </w:rPr>
              <w:t>Important</w:t>
            </w:r>
          </w:p>
        </w:tc>
        <w:tc>
          <w:tcPr>
            <w:tcW w:type="dxa" w:w="2518"/>
            <w:shd w:fill="EBF5FB" w:val="clear"/>
          </w:tcPr>
          <w:p>
            <w:pPr>
              <w:jc w:val="center"/>
            </w:pPr>
            <w:r>
              <w:rPr>
                <w:sz w:val="18"/>
              </w:rPr>
              <w:t>OVI, Latent Image, Intaglio, See-Through</w:t>
            </w:r>
          </w:p>
        </w:tc>
        <w:tc>
          <w:tcPr>
            <w:tcW w:type="dxa" w:w="2518"/>
            <w:shd w:fill="EBF5FB" w:val="clear"/>
          </w:tcPr>
          <w:p>
            <w:pPr>
              <w:jc w:val="center"/>
            </w:pPr>
            <w:r>
              <w:rPr>
                <w:sz w:val="18"/>
              </w:rPr>
              <w:t>36.8%</w:t>
            </w:r>
          </w:p>
        </w:tc>
        <w:tc>
          <w:tcPr>
            <w:tcW w:type="dxa" w:w="2518"/>
            <w:shd w:fill="EBF5FB" w:val="clear"/>
          </w:tcPr>
          <w:p>
            <w:pPr>
              <w:jc w:val="center"/>
            </w:pPr>
            <w:r>
              <w:rPr>
                <w:sz w:val="18"/>
              </w:rPr>
              <w:t>High</w:t>
            </w:r>
          </w:p>
        </w:tc>
      </w:tr>
      <w:tr>
        <w:tc>
          <w:tcPr>
            <w:tcW w:type="dxa" w:w="2518"/>
          </w:tcPr>
          <w:p>
            <w:pPr>
              <w:jc w:val="center"/>
            </w:pPr>
            <w:r>
              <w:rPr>
                <w:sz w:val="18"/>
              </w:rPr>
              <w:t>Supporting</w:t>
            </w:r>
          </w:p>
        </w:tc>
        <w:tc>
          <w:tcPr>
            <w:tcW w:type="dxa" w:w="2518"/>
          </w:tcPr>
          <w:p>
            <w:pPr>
              <w:jc w:val="center"/>
            </w:pPr>
            <w:r>
              <w:rPr>
                <w:sz w:val="18"/>
              </w:rPr>
              <w:t>Microlettering, Fluorescence, Color, etc.</w:t>
            </w:r>
          </w:p>
        </w:tc>
        <w:tc>
          <w:tcPr>
            <w:tcW w:type="dxa" w:w="2518"/>
          </w:tcPr>
          <w:p>
            <w:pPr>
              <w:jc w:val="center"/>
            </w:pPr>
            <w:r>
              <w:rPr>
                <w:sz w:val="18"/>
              </w:rPr>
              <w:t>26.9%</w:t>
            </w:r>
          </w:p>
        </w:tc>
        <w:tc>
          <w:tcPr>
            <w:tcW w:type="dxa" w:w="2518"/>
          </w:tcPr>
          <w:p>
            <w:pPr>
              <w:jc w:val="center"/>
            </w:pPr>
            <w:r>
              <w:rPr>
                <w:sz w:val="18"/>
              </w:rPr>
              <w:t>Moderate</w:t>
            </w:r>
          </w:p>
        </w:tc>
      </w:tr>
    </w:tbl>
    <w:p/>
    <w:p>
      <w:r>
        <w:br w:type="page"/>
      </w:r>
    </w:p>
    <w:p>
      <w:pPr>
        <w:pStyle w:val="Heading1"/>
      </w:pPr>
      <w:r>
        <w:rPr>
          <w:rFonts w:ascii="Times New Roman" w:hAnsi="Times New Roman"/>
          <w:sz w:val="24"/>
        </w:rPr>
        <w:t>III. System Architecture</w:t>
      </w:r>
    </w:p>
    <w:p>
      <w:pPr>
        <w:pStyle w:val="Heading2"/>
      </w:pPr>
      <w:r>
        <w:rPr>
          <w:rFonts w:ascii="Times New Roman" w:hAnsi="Times New Roman"/>
          <w:sz w:val="22"/>
        </w:rPr>
        <w:t>A. Overview</w:t>
      </w:r>
    </w:p>
    <w:p>
      <w:r>
        <w:rPr>
          <w:rFonts w:ascii="Times New Roman" w:hAnsi="Times New Roman"/>
          <w:sz w:val="20"/>
        </w:rPr>
        <w:t>The system employs a hybrid ensemble architecture combining deep learning (PyTorch Xception CNN) with computer vision (OpenCV) analyses. Input images (base64, ≤10MB) are preprocessed (resized to 299×299, normalized to [-1,1]), then processed in parallel by the PyTorch CNN classifier and OpenCV feature analyzer (15 security features). Results feed into the Ensemble Decision Engine which applies dynamic CNN weighting (75-90%), OpenCV feature weighting (15 features), Critical Feature Override Logic, and Feature Agreement Calculation to produce the final REAL/FAKE result with confidence and explainability.</w:t>
      </w:r>
    </w:p>
    <w:p>
      <w:pPr>
        <w:pStyle w:val="Heading2"/>
      </w:pPr>
      <w:r>
        <w:rPr>
          <w:rFonts w:ascii="Times New Roman" w:hAnsi="Times New Roman"/>
          <w:sz w:val="22"/>
        </w:rPr>
        <w:t>B. PyTorch CNN Classifier</w:t>
      </w:r>
    </w:p>
    <w:p>
      <w:r>
        <w:rPr>
          <w:rFonts w:ascii="Times New Roman" w:hAnsi="Times New Roman"/>
          <w:b/>
          <w:sz w:val="20"/>
        </w:rPr>
        <w:t>Architecture: Xception (ImageNet pretrained) with custom classification head</w:t>
      </w:r>
    </w:p>
    <w:p>
      <w:pPr>
        <w:pStyle w:val="ListBullet"/>
      </w:pPr>
      <w:r>
        <w:rPr>
          <w:rFonts w:ascii="Times New Roman" w:hAnsi="Times New Roman"/>
          <w:sz w:val="20"/>
        </w:rPr>
        <w:t>Input: 299×299×3 (normalized to [-1, 1])</w:t>
      </w:r>
    </w:p>
    <w:p>
      <w:pPr>
        <w:pStyle w:val="ListBullet"/>
      </w:pPr>
      <w:r>
        <w:rPr>
          <w:rFonts w:ascii="Times New Roman" w:hAnsi="Times New Roman"/>
          <w:sz w:val="20"/>
        </w:rPr>
        <w:t>Xception Base (ImageNet pretrained, frozen initially)</w:t>
      </w:r>
    </w:p>
    <w:p>
      <w:pPr>
        <w:pStyle w:val="ListBullet"/>
      </w:pPr>
      <w:r>
        <w:rPr>
          <w:rFonts w:ascii="Times New Roman" w:hAnsi="Times New Roman"/>
          <w:sz w:val="20"/>
        </w:rPr>
        <w:t>Global Average Pooling (2048 features)</w:t>
      </w:r>
    </w:p>
    <w:p>
      <w:pPr>
        <w:pStyle w:val="ListBullet"/>
      </w:pPr>
      <w:r>
        <w:rPr>
          <w:rFonts w:ascii="Times New Roman" w:hAnsi="Times New Roman"/>
          <w:sz w:val="20"/>
        </w:rPr>
        <w:t>Batch Normalization + Dropout (0.5)</w:t>
      </w:r>
    </w:p>
    <w:p>
      <w:pPr>
        <w:pStyle w:val="ListBullet"/>
      </w:pPr>
      <w:r>
        <w:rPr>
          <w:rFonts w:ascii="Times New Roman" w:hAnsi="Times New Roman"/>
          <w:sz w:val="20"/>
        </w:rPr>
        <w:t>Dense (256) + ReLU + BatchNorm + Dropout (0.4)</w:t>
      </w:r>
    </w:p>
    <w:p>
      <w:pPr>
        <w:pStyle w:val="ListBullet"/>
      </w:pPr>
      <w:r>
        <w:rPr>
          <w:rFonts w:ascii="Times New Roman" w:hAnsi="Times New Roman"/>
          <w:sz w:val="20"/>
        </w:rPr>
        <w:t>Dense (128) + ReLU + Dropout (0.3)</w:t>
      </w:r>
    </w:p>
    <w:p>
      <w:pPr>
        <w:pStyle w:val="ListBullet"/>
      </w:pPr>
      <w:r>
        <w:rPr>
          <w:rFonts w:ascii="Times New Roman" w:hAnsi="Times New Roman"/>
          <w:sz w:val="20"/>
        </w:rPr>
        <w:t>Output: Authenticity (sigmoid, binary)</w:t>
      </w:r>
    </w:p>
    <w:p>
      <w:r>
        <w:rPr>
          <w:rFonts w:ascii="Times New Roman" w:hAnsi="Times New Roman"/>
          <w:b/>
          <w:sz w:val="20"/>
        </w:rPr>
        <w:t xml:space="preserve">Training Strategy: </w:t>
      </w:r>
    </w:p>
    <w:p>
      <w:pPr>
        <w:pStyle w:val="ListBullet"/>
      </w:pPr>
      <w:r>
        <w:rPr>
          <w:rFonts w:ascii="Times New Roman" w:hAnsi="Times New Roman"/>
          <w:sz w:val="20"/>
        </w:rPr>
        <w:t>Phase 1 (Epochs 1-8): Train custom head only (frozen base), learning rate 0.001</w:t>
      </w:r>
    </w:p>
    <w:p>
      <w:pPr>
        <w:pStyle w:val="ListBullet"/>
      </w:pPr>
      <w:r>
        <w:rPr>
          <w:rFonts w:ascii="Times New Roman" w:hAnsi="Times New Roman"/>
          <w:sz w:val="20"/>
        </w:rPr>
        <w:t>Phase 2 (Epochs 9-15): Fine-tune top 30% of base, learning rate 0.0001</w:t>
      </w:r>
    </w:p>
    <w:p>
      <w:pPr>
        <w:pStyle w:val="ListBullet"/>
      </w:pPr>
      <w:r>
        <w:rPr>
          <w:rFonts w:ascii="Times New Roman" w:hAnsi="Times New Roman"/>
          <w:sz w:val="20"/>
        </w:rPr>
        <w:t>Class Balancing: Weighted BCELoss with 8.5x weight for fake class</w:t>
      </w:r>
    </w:p>
    <w:p>
      <w:pPr>
        <w:pStyle w:val="ListBullet"/>
      </w:pPr>
      <w:r>
        <w:rPr>
          <w:rFonts w:ascii="Times New Roman" w:hAnsi="Times New Roman"/>
          <w:sz w:val="20"/>
        </w:rPr>
        <w:t>Test-Time Augmentation (TTA): 7 predictions averaged</w:t>
      </w:r>
    </w:p>
    <w:p>
      <w:pPr>
        <w:pStyle w:val="ListBullet"/>
      </w:pPr>
      <w:r>
        <w:rPr>
          <w:rFonts w:ascii="Times New Roman" w:hAnsi="Times New Roman"/>
          <w:sz w:val="20"/>
        </w:rPr>
        <w:t>Confidence Calibration: Temperature scaling (T=1.5)</w:t>
      </w:r>
    </w:p>
    <w:p>
      <w:r>
        <w:br w:type="page"/>
      </w:r>
    </w:p>
    <w:p>
      <w:pPr>
        <w:pStyle w:val="Heading1"/>
      </w:pPr>
      <w:r>
        <w:rPr>
          <w:rFonts w:ascii="Times New Roman" w:hAnsi="Times New Roman"/>
          <w:sz w:val="24"/>
        </w:rPr>
        <w:t>IV. Dataset and Training</w:t>
      </w:r>
    </w:p>
    <w:tbl>
      <w:tblPr>
        <w:tblStyle w:val="TableGrid"/>
        <w:tblW w:type="auto" w:w="0"/>
        <w:jc w:val="center"/>
        <w:tblLook w:firstColumn="1" w:firstRow="1" w:lastColumn="0" w:lastRow="0" w:noHBand="0" w:noVBand="1" w:val="04A0"/>
      </w:tblPr>
      <w:tblGrid>
        <w:gridCol w:w="3358"/>
        <w:gridCol w:w="3358"/>
        <w:gridCol w:w="3358"/>
      </w:tblGrid>
      <w:tr>
        <w:tc>
          <w:tcPr>
            <w:tcW w:type="dxa" w:w="3358"/>
            <w:shd w:fill="2C3E50" w:val="clear"/>
          </w:tcPr>
          <w:p>
            <w:pPr>
              <w:jc w:val="center"/>
            </w:pPr>
            <w:r>
              <w:rPr>
                <w:b/>
                <w:color w:val="FFFFFF"/>
                <w:sz w:val="18"/>
              </w:rPr>
              <w:t>Class</w:t>
            </w:r>
          </w:p>
        </w:tc>
        <w:tc>
          <w:tcPr>
            <w:tcW w:type="dxa" w:w="3358"/>
            <w:shd w:fill="2C3E50" w:val="clear"/>
          </w:tcPr>
          <w:p>
            <w:pPr>
              <w:jc w:val="center"/>
            </w:pPr>
            <w:r>
              <w:rPr>
                <w:b/>
                <w:color w:val="FFFFFF"/>
                <w:sz w:val="18"/>
              </w:rPr>
              <w:t>Count</w:t>
            </w:r>
          </w:p>
        </w:tc>
        <w:tc>
          <w:tcPr>
            <w:tcW w:type="dxa" w:w="3358"/>
            <w:shd w:fill="2C3E50" w:val="clear"/>
          </w:tcPr>
          <w:p>
            <w:pPr>
              <w:jc w:val="center"/>
            </w:pPr>
            <w:r>
              <w:rPr>
                <w:b/>
                <w:color w:val="FFFFFF"/>
                <w:sz w:val="18"/>
              </w:rPr>
              <w:t>Percentage</w:t>
            </w:r>
          </w:p>
        </w:tc>
      </w:tr>
      <w:tr>
        <w:tc>
          <w:tcPr>
            <w:tcW w:type="dxa" w:w="3358"/>
          </w:tcPr>
          <w:p>
            <w:pPr>
              <w:jc w:val="center"/>
            </w:pPr>
            <w:r>
              <w:rPr>
                <w:sz w:val="18"/>
              </w:rPr>
              <w:t>Real</w:t>
            </w:r>
          </w:p>
        </w:tc>
        <w:tc>
          <w:tcPr>
            <w:tcW w:type="dxa" w:w="3358"/>
          </w:tcPr>
          <w:p>
            <w:pPr>
              <w:jc w:val="center"/>
            </w:pPr>
            <w:r>
              <w:rPr>
                <w:sz w:val="18"/>
              </w:rPr>
              <w:t>4,937</w:t>
            </w:r>
          </w:p>
        </w:tc>
        <w:tc>
          <w:tcPr>
            <w:tcW w:type="dxa" w:w="3358"/>
          </w:tcPr>
          <w:p>
            <w:pPr>
              <w:jc w:val="center"/>
            </w:pPr>
            <w:r>
              <w:rPr>
                <w:sz w:val="18"/>
              </w:rPr>
              <w:t>89.5%</w:t>
            </w:r>
          </w:p>
        </w:tc>
      </w:tr>
      <w:tr>
        <w:tc>
          <w:tcPr>
            <w:tcW w:type="dxa" w:w="3358"/>
            <w:shd w:fill="EBF5FB" w:val="clear"/>
          </w:tcPr>
          <w:p>
            <w:pPr>
              <w:jc w:val="center"/>
            </w:pPr>
            <w:r>
              <w:rPr>
                <w:sz w:val="18"/>
              </w:rPr>
              <w:t>Fake</w:t>
            </w:r>
          </w:p>
        </w:tc>
        <w:tc>
          <w:tcPr>
            <w:tcW w:type="dxa" w:w="3358"/>
            <w:shd w:fill="EBF5FB" w:val="clear"/>
          </w:tcPr>
          <w:p>
            <w:pPr>
              <w:jc w:val="center"/>
            </w:pPr>
            <w:r>
              <w:rPr>
                <w:sz w:val="18"/>
              </w:rPr>
              <w:t>581</w:t>
            </w:r>
          </w:p>
        </w:tc>
        <w:tc>
          <w:tcPr>
            <w:tcW w:type="dxa" w:w="3358"/>
            <w:shd w:fill="EBF5FB" w:val="clear"/>
          </w:tcPr>
          <w:p>
            <w:pPr>
              <w:jc w:val="center"/>
            </w:pPr>
            <w:r>
              <w:rPr>
                <w:sz w:val="18"/>
              </w:rPr>
              <w:t>10.5%</w:t>
            </w:r>
          </w:p>
        </w:tc>
      </w:tr>
      <w:tr>
        <w:tc>
          <w:tcPr>
            <w:tcW w:type="dxa" w:w="3358"/>
          </w:tcPr>
          <w:p>
            <w:pPr>
              <w:jc w:val="center"/>
            </w:pPr>
            <w:r>
              <w:rPr>
                <w:sz w:val="18"/>
              </w:rPr>
              <w:t>Total</w:t>
            </w:r>
          </w:p>
        </w:tc>
        <w:tc>
          <w:tcPr>
            <w:tcW w:type="dxa" w:w="3358"/>
          </w:tcPr>
          <w:p>
            <w:pPr>
              <w:jc w:val="center"/>
            </w:pPr>
            <w:r>
              <w:rPr>
                <w:sz w:val="18"/>
              </w:rPr>
              <w:t>5,518</w:t>
            </w:r>
          </w:p>
        </w:tc>
        <w:tc>
          <w:tcPr>
            <w:tcW w:type="dxa" w:w="3358"/>
          </w:tcPr>
          <w:p>
            <w:pPr>
              <w:jc w:val="center"/>
            </w:pPr>
            <w:r>
              <w:rPr>
                <w:sz w:val="18"/>
              </w:rPr>
              <w:t>100%</w:t>
            </w:r>
          </w:p>
        </w:tc>
      </w:tr>
    </w:tbl>
    <w:p/>
    <w:p>
      <w:pPr>
        <w:pStyle w:val="Heading2"/>
      </w:pPr>
      <w:r>
        <w:rPr>
          <w:rFonts w:ascii="Times New Roman" w:hAnsi="Times New Roman"/>
          <w:sz w:val="22"/>
        </w:rPr>
        <w:t>B. Class Balancing Strategy</w:t>
      </w:r>
    </w:p>
    <w:p>
      <w:r>
        <w:rPr>
          <w:rFonts w:ascii="Times New Roman" w:hAnsi="Times New Roman"/>
          <w:sz w:val="20"/>
        </w:rPr>
        <w:t>To address the 8.5:1 imbalance, we apply weighted Binary Cross-Entropy Loss. This weights fake samples 8.5x more than real samples during training, effectively balancing the loss contribution from each class. The weighted loss is computed as:</w:t>
      </w:r>
    </w:p>
    <w:p>
      <w:pPr>
        <w:jc w:val="center"/>
      </w:pPr>
      <w:r>
        <w:rPr>
          <w:rFonts w:ascii="Courier New" w:hAnsi="Courier New"/>
          <w:b/>
          <w:sz w:val="20"/>
        </w:rPr>
        <w:t>L = (1/N) × Σ [w_i × (y_i × log(p_i) + (1-y_i) × log(1-p_i))]</w:t>
      </w:r>
    </w:p>
    <w:tbl>
      <w:tblPr>
        <w:tblStyle w:val="TableGrid"/>
        <w:tblW w:type="auto" w:w="0"/>
        <w:jc w:val="center"/>
        <w:tblLook w:firstColumn="1" w:firstRow="1" w:lastColumn="0" w:lastRow="0" w:noHBand="0" w:noVBand="1" w:val="04A0"/>
      </w:tblPr>
      <w:tblGrid>
        <w:gridCol w:w="5037"/>
        <w:gridCol w:w="5037"/>
      </w:tblGrid>
      <w:tr>
        <w:tc>
          <w:tcPr>
            <w:tcW w:type="dxa" w:w="5037"/>
            <w:shd w:fill="2C3E50" w:val="clear"/>
          </w:tcPr>
          <w:p>
            <w:pPr>
              <w:jc w:val="center"/>
            </w:pPr>
            <w:r>
              <w:rPr>
                <w:b/>
                <w:color w:val="FFFFFF"/>
                <w:sz w:val="18"/>
              </w:rPr>
              <w:t>Parameter</w:t>
            </w:r>
          </w:p>
        </w:tc>
        <w:tc>
          <w:tcPr>
            <w:tcW w:type="dxa" w:w="5037"/>
            <w:shd w:fill="2C3E50" w:val="clear"/>
          </w:tcPr>
          <w:p>
            <w:pPr>
              <w:jc w:val="center"/>
            </w:pPr>
            <w:r>
              <w:rPr>
                <w:b/>
                <w:color w:val="FFFFFF"/>
                <w:sz w:val="18"/>
              </w:rPr>
              <w:t>Value</w:t>
            </w:r>
          </w:p>
        </w:tc>
      </w:tr>
      <w:tr>
        <w:tc>
          <w:tcPr>
            <w:tcW w:type="dxa" w:w="5037"/>
          </w:tcPr>
          <w:p>
            <w:pPr>
              <w:jc w:val="center"/>
            </w:pPr>
            <w:r>
              <w:rPr>
                <w:sz w:val="18"/>
              </w:rPr>
              <w:t>Framework</w:t>
            </w:r>
          </w:p>
        </w:tc>
        <w:tc>
          <w:tcPr>
            <w:tcW w:type="dxa" w:w="5037"/>
          </w:tcPr>
          <w:p>
            <w:pPr>
              <w:jc w:val="center"/>
            </w:pPr>
            <w:r>
              <w:rPr>
                <w:sz w:val="18"/>
              </w:rPr>
              <w:t>PyTorch 2.7.1+cu118</w:t>
            </w:r>
          </w:p>
        </w:tc>
      </w:tr>
      <w:tr>
        <w:tc>
          <w:tcPr>
            <w:tcW w:type="dxa" w:w="5037"/>
            <w:shd w:fill="EBF5FB" w:val="clear"/>
          </w:tcPr>
          <w:p>
            <w:pPr>
              <w:jc w:val="center"/>
            </w:pPr>
            <w:r>
              <w:rPr>
                <w:sz w:val="18"/>
              </w:rPr>
              <w:t>Base Model</w:t>
            </w:r>
          </w:p>
        </w:tc>
        <w:tc>
          <w:tcPr>
            <w:tcW w:type="dxa" w:w="5037"/>
            <w:shd w:fill="EBF5FB" w:val="clear"/>
          </w:tcPr>
          <w:p>
            <w:pPr>
              <w:jc w:val="center"/>
            </w:pPr>
            <w:r>
              <w:rPr>
                <w:sz w:val="18"/>
              </w:rPr>
              <w:t>Xception (ImageNet pretrained)</w:t>
            </w:r>
          </w:p>
        </w:tc>
      </w:tr>
      <w:tr>
        <w:tc>
          <w:tcPr>
            <w:tcW w:type="dxa" w:w="5037"/>
          </w:tcPr>
          <w:p>
            <w:pPr>
              <w:jc w:val="center"/>
            </w:pPr>
            <w:r>
              <w:rPr>
                <w:sz w:val="18"/>
              </w:rPr>
              <w:t>Input Size</w:t>
            </w:r>
          </w:p>
        </w:tc>
        <w:tc>
          <w:tcPr>
            <w:tcW w:type="dxa" w:w="5037"/>
          </w:tcPr>
          <w:p>
            <w:pPr>
              <w:jc w:val="center"/>
            </w:pPr>
            <w:r>
              <w:rPr>
                <w:sz w:val="18"/>
              </w:rPr>
              <w:t>299×299×3</w:t>
            </w:r>
          </w:p>
        </w:tc>
      </w:tr>
      <w:tr>
        <w:tc>
          <w:tcPr>
            <w:tcW w:type="dxa" w:w="5037"/>
            <w:shd w:fill="EBF5FB" w:val="clear"/>
          </w:tcPr>
          <w:p>
            <w:pPr>
              <w:jc w:val="center"/>
            </w:pPr>
            <w:r>
              <w:rPr>
                <w:sz w:val="18"/>
              </w:rPr>
              <w:t>Batch Size</w:t>
            </w:r>
          </w:p>
        </w:tc>
        <w:tc>
          <w:tcPr>
            <w:tcW w:type="dxa" w:w="5037"/>
            <w:shd w:fill="EBF5FB" w:val="clear"/>
          </w:tcPr>
          <w:p>
            <w:pPr>
              <w:jc w:val="center"/>
            </w:pPr>
            <w:r>
              <w:rPr>
                <w:sz w:val="18"/>
              </w:rPr>
              <w:t>8</w:t>
            </w:r>
          </w:p>
        </w:tc>
      </w:tr>
      <w:tr>
        <w:tc>
          <w:tcPr>
            <w:tcW w:type="dxa" w:w="5037"/>
          </w:tcPr>
          <w:p>
            <w:pPr>
              <w:jc w:val="center"/>
            </w:pPr>
            <w:r>
              <w:rPr>
                <w:sz w:val="18"/>
              </w:rPr>
              <w:t>Total Epochs</w:t>
            </w:r>
          </w:p>
        </w:tc>
        <w:tc>
          <w:tcPr>
            <w:tcW w:type="dxa" w:w="5037"/>
          </w:tcPr>
          <w:p>
            <w:pPr>
              <w:jc w:val="center"/>
            </w:pPr>
            <w:r>
              <w:rPr>
                <w:sz w:val="18"/>
              </w:rPr>
              <w:t>15 (8+7)</w:t>
            </w:r>
          </w:p>
        </w:tc>
      </w:tr>
      <w:tr>
        <w:tc>
          <w:tcPr>
            <w:tcW w:type="dxa" w:w="5037"/>
            <w:shd w:fill="EBF5FB" w:val="clear"/>
          </w:tcPr>
          <w:p>
            <w:pPr>
              <w:jc w:val="center"/>
            </w:pPr>
            <w:r>
              <w:rPr>
                <w:sz w:val="18"/>
              </w:rPr>
              <w:t>Loss Function</w:t>
            </w:r>
          </w:p>
        </w:tc>
        <w:tc>
          <w:tcPr>
            <w:tcW w:type="dxa" w:w="5037"/>
            <w:shd w:fill="EBF5FB" w:val="clear"/>
          </w:tcPr>
          <w:p>
            <w:pPr>
              <w:jc w:val="center"/>
            </w:pPr>
            <w:r>
              <w:rPr>
                <w:sz w:val="18"/>
              </w:rPr>
              <w:t>Weighted BCELoss</w:t>
            </w:r>
          </w:p>
        </w:tc>
      </w:tr>
      <w:tr>
        <w:tc>
          <w:tcPr>
            <w:tcW w:type="dxa" w:w="5037"/>
          </w:tcPr>
          <w:p>
            <w:pPr>
              <w:jc w:val="center"/>
            </w:pPr>
            <w:r>
              <w:rPr>
                <w:sz w:val="18"/>
              </w:rPr>
              <w:t>Class Weights</w:t>
            </w:r>
          </w:p>
        </w:tc>
        <w:tc>
          <w:tcPr>
            <w:tcW w:type="dxa" w:w="5037"/>
          </w:tcPr>
          <w:p>
            <w:pPr>
              <w:jc w:val="center"/>
            </w:pPr>
            <w:r>
              <w:rPr>
                <w:sz w:val="18"/>
              </w:rPr>
              <w:t>Fake: 4.75, Real: 0.56</w:t>
            </w:r>
          </w:p>
        </w:tc>
      </w:tr>
      <w:tr>
        <w:tc>
          <w:tcPr>
            <w:tcW w:type="dxa" w:w="5037"/>
            <w:shd w:fill="EBF5FB" w:val="clear"/>
          </w:tcPr>
          <w:p>
            <w:pPr>
              <w:jc w:val="center"/>
            </w:pPr>
            <w:r>
              <w:rPr>
                <w:sz w:val="18"/>
              </w:rPr>
              <w:t>GPU</w:t>
            </w:r>
          </w:p>
        </w:tc>
        <w:tc>
          <w:tcPr>
            <w:tcW w:type="dxa" w:w="5037"/>
            <w:shd w:fill="EBF5FB" w:val="clear"/>
          </w:tcPr>
          <w:p>
            <w:pPr>
              <w:jc w:val="center"/>
            </w:pPr>
            <w:r>
              <w:rPr>
                <w:sz w:val="18"/>
              </w:rPr>
              <w:t>NVIDIA GTX 1050 (3GB, CUDA 11.8)</w:t>
            </w:r>
          </w:p>
        </w:tc>
      </w:tr>
      <w:tr>
        <w:tc>
          <w:tcPr>
            <w:tcW w:type="dxa" w:w="5037"/>
          </w:tcPr>
          <w:p>
            <w:pPr>
              <w:jc w:val="center"/>
            </w:pPr>
            <w:r>
              <w:rPr>
                <w:sz w:val="18"/>
              </w:rPr>
              <w:t>Training Time (GPU)</w:t>
            </w:r>
          </w:p>
        </w:tc>
        <w:tc>
          <w:tcPr>
            <w:tcW w:type="dxa" w:w="5037"/>
          </w:tcPr>
          <w:p>
            <w:pPr>
              <w:jc w:val="center"/>
            </w:pPr>
            <w:r>
              <w:rPr>
                <w:sz w:val="18"/>
              </w:rPr>
              <w:t>~75 minutes</w:t>
            </w:r>
          </w:p>
        </w:tc>
      </w:tr>
      <w:tr>
        <w:tc>
          <w:tcPr>
            <w:tcW w:type="dxa" w:w="5037"/>
            <w:shd w:fill="EBF5FB" w:val="clear"/>
          </w:tcPr>
          <w:p>
            <w:pPr>
              <w:jc w:val="center"/>
            </w:pPr>
            <w:r>
              <w:rPr>
                <w:sz w:val="18"/>
              </w:rPr>
              <w:t>Training Time (CPU)</w:t>
            </w:r>
          </w:p>
        </w:tc>
        <w:tc>
          <w:tcPr>
            <w:tcW w:type="dxa" w:w="5037"/>
            <w:shd w:fill="EBF5FB" w:val="clear"/>
          </w:tcPr>
          <w:p>
            <w:pPr>
              <w:jc w:val="center"/>
            </w:pPr>
            <w:r>
              <w:rPr>
                <w:sz w:val="18"/>
              </w:rPr>
              <w:t>~4 hours</w:t>
            </w:r>
          </w:p>
        </w:tc>
      </w:tr>
    </w:tbl>
    <w:p/>
    <w:p>
      <w:r>
        <w:br w:type="page"/>
      </w:r>
    </w:p>
    <w:p>
      <w:pPr>
        <w:pStyle w:val="Heading1"/>
      </w:pPr>
      <w:r>
        <w:rPr>
          <w:rFonts w:ascii="Times New Roman" w:hAnsi="Times New Roman"/>
          <w:sz w:val="24"/>
        </w:rPr>
        <w:t>V. Experimental Results</w:t>
      </w:r>
    </w:p>
    <w:tbl>
      <w:tblPr>
        <w:tblStyle w:val="TableGrid"/>
        <w:tblW w:type="auto" w:w="0"/>
        <w:jc w:val="center"/>
        <w:tblLook w:firstColumn="1" w:firstRow="1" w:lastColumn="0" w:lastRow="0" w:noHBand="0" w:noVBand="1" w:val="04A0"/>
      </w:tblPr>
      <w:tblGrid>
        <w:gridCol w:w="5037"/>
        <w:gridCol w:w="5037"/>
      </w:tblGrid>
      <w:tr>
        <w:tc>
          <w:tcPr>
            <w:tcW w:type="dxa" w:w="5037"/>
            <w:shd w:fill="2C3E50" w:val="clear"/>
          </w:tcPr>
          <w:p>
            <w:pPr>
              <w:jc w:val="center"/>
            </w:pPr>
            <w:r>
              <w:rPr>
                <w:b/>
                <w:color w:val="FFFFFF"/>
                <w:sz w:val="18"/>
              </w:rPr>
              <w:t>Metric</w:t>
            </w:r>
          </w:p>
        </w:tc>
        <w:tc>
          <w:tcPr>
            <w:tcW w:type="dxa" w:w="5037"/>
            <w:shd w:fill="2C3E50" w:val="clear"/>
          </w:tcPr>
          <w:p>
            <w:pPr>
              <w:jc w:val="center"/>
            </w:pPr>
            <w:r>
              <w:rPr>
                <w:b/>
                <w:color w:val="FFFFFF"/>
                <w:sz w:val="18"/>
              </w:rPr>
              <w:t>Value</w:t>
            </w:r>
          </w:p>
        </w:tc>
      </w:tr>
      <w:tr>
        <w:tc>
          <w:tcPr>
            <w:tcW w:type="dxa" w:w="5037"/>
          </w:tcPr>
          <w:p>
            <w:pPr>
              <w:jc w:val="center"/>
            </w:pPr>
            <w:r>
              <w:rPr>
                <w:sz w:val="18"/>
              </w:rPr>
              <w:t>Overall Accuracy</w:t>
            </w:r>
          </w:p>
        </w:tc>
        <w:tc>
          <w:tcPr>
            <w:tcW w:type="dxa" w:w="5037"/>
          </w:tcPr>
          <w:p>
            <w:pPr>
              <w:jc w:val="center"/>
            </w:pPr>
            <w:r>
              <w:rPr>
                <w:sz w:val="18"/>
              </w:rPr>
              <w:t>92.88%</w:t>
            </w:r>
          </w:p>
        </w:tc>
      </w:tr>
      <w:tr>
        <w:tc>
          <w:tcPr>
            <w:tcW w:type="dxa" w:w="5037"/>
            <w:shd w:fill="EBF5FB" w:val="clear"/>
          </w:tcPr>
          <w:p>
            <w:pPr>
              <w:jc w:val="center"/>
            </w:pPr>
            <w:r>
              <w:rPr>
                <w:sz w:val="18"/>
              </w:rPr>
              <w:t>Fake Detection (Recall)</w:t>
            </w:r>
          </w:p>
        </w:tc>
        <w:tc>
          <w:tcPr>
            <w:tcW w:type="dxa" w:w="5037"/>
            <w:shd w:fill="EBF5FB" w:val="clear"/>
          </w:tcPr>
          <w:p>
            <w:pPr>
              <w:jc w:val="center"/>
            </w:pPr>
            <w:r>
              <w:rPr>
                <w:sz w:val="18"/>
              </w:rPr>
              <w:t>78.33% (206/263)</w:t>
            </w:r>
          </w:p>
        </w:tc>
      </w:tr>
      <w:tr>
        <w:tc>
          <w:tcPr>
            <w:tcW w:type="dxa" w:w="5037"/>
          </w:tcPr>
          <w:p>
            <w:pPr>
              <w:jc w:val="center"/>
            </w:pPr>
            <w:r>
              <w:rPr>
                <w:sz w:val="18"/>
              </w:rPr>
              <w:t>Real Detection</w:t>
            </w:r>
          </w:p>
        </w:tc>
        <w:tc>
          <w:tcPr>
            <w:tcW w:type="dxa" w:w="5037"/>
          </w:tcPr>
          <w:p>
            <w:pPr>
              <w:jc w:val="center"/>
            </w:pPr>
            <w:r>
              <w:rPr>
                <w:sz w:val="18"/>
              </w:rPr>
              <w:t>100.00% (537/537)</w:t>
            </w:r>
          </w:p>
        </w:tc>
      </w:tr>
      <w:tr>
        <w:tc>
          <w:tcPr>
            <w:tcW w:type="dxa" w:w="5037"/>
            <w:shd w:fill="EBF5FB" w:val="clear"/>
          </w:tcPr>
          <w:p>
            <w:pPr>
              <w:jc w:val="center"/>
            </w:pPr>
            <w:r>
              <w:rPr>
                <w:sz w:val="18"/>
              </w:rPr>
              <w:t>AUC Score</w:t>
            </w:r>
          </w:p>
        </w:tc>
        <w:tc>
          <w:tcPr>
            <w:tcW w:type="dxa" w:w="5037"/>
            <w:shd w:fill="EBF5FB" w:val="clear"/>
          </w:tcPr>
          <w:p>
            <w:pPr>
              <w:jc w:val="center"/>
            </w:pPr>
            <w:r>
              <w:rPr>
                <w:sz w:val="18"/>
              </w:rPr>
              <w:t>0.9947</w:t>
            </w:r>
          </w:p>
        </w:tc>
      </w:tr>
      <w:tr>
        <w:tc>
          <w:tcPr>
            <w:tcW w:type="dxa" w:w="5037"/>
          </w:tcPr>
          <w:p>
            <w:pPr>
              <w:jc w:val="center"/>
            </w:pPr>
            <w:r>
              <w:rPr>
                <w:sz w:val="18"/>
              </w:rPr>
              <w:t>Precision (Fake)</w:t>
            </w:r>
          </w:p>
        </w:tc>
        <w:tc>
          <w:tcPr>
            <w:tcW w:type="dxa" w:w="5037"/>
          </w:tcPr>
          <w:p>
            <w:pPr>
              <w:jc w:val="center"/>
            </w:pPr>
            <w:r>
              <w:rPr>
                <w:sz w:val="18"/>
              </w:rPr>
              <w:t>1.0000</w:t>
            </w:r>
          </w:p>
        </w:tc>
      </w:tr>
      <w:tr>
        <w:tc>
          <w:tcPr>
            <w:tcW w:type="dxa" w:w="5037"/>
            <w:shd w:fill="EBF5FB" w:val="clear"/>
          </w:tcPr>
          <w:p>
            <w:pPr>
              <w:jc w:val="center"/>
            </w:pPr>
            <w:r>
              <w:rPr>
                <w:sz w:val="18"/>
              </w:rPr>
              <w:t>Precision (Real)</w:t>
            </w:r>
          </w:p>
        </w:tc>
        <w:tc>
          <w:tcPr>
            <w:tcW w:type="dxa" w:w="5037"/>
            <w:shd w:fill="EBF5FB" w:val="clear"/>
          </w:tcPr>
          <w:p>
            <w:pPr>
              <w:jc w:val="center"/>
            </w:pPr>
            <w:r>
              <w:rPr>
                <w:sz w:val="18"/>
              </w:rPr>
              <w:t>0.9039</w:t>
            </w:r>
          </w:p>
        </w:tc>
      </w:tr>
      <w:tr>
        <w:tc>
          <w:tcPr>
            <w:tcW w:type="dxa" w:w="5037"/>
          </w:tcPr>
          <w:p>
            <w:pPr>
              <w:jc w:val="center"/>
            </w:pPr>
            <w:r>
              <w:rPr>
                <w:sz w:val="18"/>
              </w:rPr>
              <w:t>F1 (Fake)</w:t>
            </w:r>
          </w:p>
        </w:tc>
        <w:tc>
          <w:tcPr>
            <w:tcW w:type="dxa" w:w="5037"/>
          </w:tcPr>
          <w:p>
            <w:pPr>
              <w:jc w:val="center"/>
            </w:pPr>
            <w:r>
              <w:rPr>
                <w:sz w:val="18"/>
              </w:rPr>
              <w:t>0.8803</w:t>
            </w:r>
          </w:p>
        </w:tc>
      </w:tr>
      <w:tr>
        <w:tc>
          <w:tcPr>
            <w:tcW w:type="dxa" w:w="5037"/>
            <w:shd w:fill="EBF5FB" w:val="clear"/>
          </w:tcPr>
          <w:p>
            <w:pPr>
              <w:jc w:val="center"/>
            </w:pPr>
            <w:r>
              <w:rPr>
                <w:sz w:val="18"/>
              </w:rPr>
              <w:t>F1 (Real)</w:t>
            </w:r>
          </w:p>
        </w:tc>
        <w:tc>
          <w:tcPr>
            <w:tcW w:type="dxa" w:w="5037"/>
            <w:shd w:fill="EBF5FB" w:val="clear"/>
          </w:tcPr>
          <w:p>
            <w:pPr>
              <w:jc w:val="center"/>
            </w:pPr>
            <w:r>
              <w:rPr>
                <w:sz w:val="18"/>
              </w:rPr>
              <w:t>0.9497</w:t>
            </w:r>
          </w:p>
        </w:tc>
      </w:tr>
    </w:tbl>
    <w:p/>
    <w:p>
      <w:r>
        <w:rPr>
          <w:rFonts w:ascii="Times New Roman" w:hAnsi="Times New Roman"/>
          <w:b/>
          <w:sz w:val="20"/>
        </w:rPr>
        <w:t>Confusion Matrix:</w:t>
      </w:r>
    </w:p>
    <w:tbl>
      <w:tblPr>
        <w:tblStyle w:val="TableGrid"/>
        <w:tblW w:type="auto" w:w="0"/>
        <w:jc w:val="center"/>
        <w:tblLook w:firstColumn="1" w:firstRow="1" w:lastColumn="0" w:lastRow="0" w:noHBand="0" w:noVBand="1" w:val="04A0"/>
      </w:tblPr>
      <w:tblGrid>
        <w:gridCol w:w="3358"/>
        <w:gridCol w:w="3358"/>
        <w:gridCol w:w="3358"/>
      </w:tblGrid>
      <w:tr>
        <w:tc>
          <w:tcPr>
            <w:tcW w:type="dxa" w:w="3358"/>
            <w:shd w:fill="2C3E50" w:val="clear"/>
          </w:tcPr>
          <w:p>
            <w:pPr>
              <w:jc w:val="center"/>
            </w:pPr>
            <w:r>
              <w:rPr>
                <w:b/>
                <w:color w:val="FFFFFF"/>
                <w:sz w:val="18"/>
              </w:rPr>
            </w:r>
          </w:p>
        </w:tc>
        <w:tc>
          <w:tcPr>
            <w:tcW w:type="dxa" w:w="3358"/>
            <w:shd w:fill="2C3E50" w:val="clear"/>
          </w:tcPr>
          <w:p>
            <w:pPr>
              <w:jc w:val="center"/>
            </w:pPr>
            <w:r>
              <w:rPr>
                <w:b/>
                <w:color w:val="FFFFFF"/>
                <w:sz w:val="18"/>
              </w:rPr>
              <w:t>Predicted Fake</w:t>
            </w:r>
          </w:p>
        </w:tc>
        <w:tc>
          <w:tcPr>
            <w:tcW w:type="dxa" w:w="3358"/>
            <w:shd w:fill="2C3E50" w:val="clear"/>
          </w:tcPr>
          <w:p>
            <w:pPr>
              <w:jc w:val="center"/>
            </w:pPr>
            <w:r>
              <w:rPr>
                <w:b/>
                <w:color w:val="FFFFFF"/>
                <w:sz w:val="18"/>
              </w:rPr>
              <w:t>Predicted Real</w:t>
            </w:r>
          </w:p>
        </w:tc>
      </w:tr>
      <w:tr>
        <w:tc>
          <w:tcPr>
            <w:tcW w:type="dxa" w:w="3358"/>
          </w:tcPr>
          <w:p>
            <w:pPr>
              <w:jc w:val="center"/>
            </w:pPr>
            <w:r>
              <w:rPr>
                <w:sz w:val="18"/>
              </w:rPr>
              <w:t>Actual Fake</w:t>
            </w:r>
          </w:p>
        </w:tc>
        <w:tc>
          <w:tcPr>
            <w:tcW w:type="dxa" w:w="3358"/>
          </w:tcPr>
          <w:p>
            <w:pPr>
              <w:jc w:val="center"/>
            </w:pPr>
            <w:r>
              <w:rPr>
                <w:sz w:val="18"/>
              </w:rPr>
              <w:t>206 (TP)</w:t>
            </w:r>
          </w:p>
        </w:tc>
        <w:tc>
          <w:tcPr>
            <w:tcW w:type="dxa" w:w="3358"/>
          </w:tcPr>
          <w:p>
            <w:pPr>
              <w:jc w:val="center"/>
            </w:pPr>
            <w:r>
              <w:rPr>
                <w:sz w:val="18"/>
              </w:rPr>
              <w:t>57 (FN)</w:t>
            </w:r>
          </w:p>
        </w:tc>
      </w:tr>
      <w:tr>
        <w:tc>
          <w:tcPr>
            <w:tcW w:type="dxa" w:w="3358"/>
            <w:shd w:fill="EBF5FB" w:val="clear"/>
          </w:tcPr>
          <w:p>
            <w:pPr>
              <w:jc w:val="center"/>
            </w:pPr>
            <w:r>
              <w:rPr>
                <w:sz w:val="18"/>
              </w:rPr>
              <w:t>Actual Real</w:t>
            </w:r>
          </w:p>
        </w:tc>
        <w:tc>
          <w:tcPr>
            <w:tcW w:type="dxa" w:w="3358"/>
            <w:shd w:fill="EBF5FB" w:val="clear"/>
          </w:tcPr>
          <w:p>
            <w:pPr>
              <w:jc w:val="center"/>
            </w:pPr>
            <w:r>
              <w:rPr>
                <w:sz w:val="18"/>
              </w:rPr>
              <w:t>0 (FP)</w:t>
            </w:r>
          </w:p>
        </w:tc>
        <w:tc>
          <w:tcPr>
            <w:tcW w:type="dxa" w:w="3358"/>
            <w:shd w:fill="EBF5FB" w:val="clear"/>
          </w:tcPr>
          <w:p>
            <w:pPr>
              <w:jc w:val="center"/>
            </w:pPr>
            <w:r>
              <w:rPr>
                <w:sz w:val="18"/>
              </w:rPr>
              <w:t>537 (TN)</w:t>
            </w:r>
          </w:p>
        </w:tc>
      </w:tr>
    </w:tbl>
    <w:p/>
    <w:p>
      <w:pPr>
        <w:pStyle w:val="Heading2"/>
      </w:pPr>
      <w:r>
        <w:rPr>
          <w:rFonts w:ascii="Times New Roman" w:hAnsi="Times New Roman"/>
          <w:sz w:val="22"/>
        </w:rPr>
        <w:t>C. Comparison with Previous Approaches</w:t>
      </w:r>
    </w:p>
    <w:tbl>
      <w:tblPr>
        <w:tblStyle w:val="TableGrid"/>
        <w:tblW w:type="auto" w:w="0"/>
        <w:jc w:val="center"/>
        <w:tblLook w:firstColumn="1" w:firstRow="1" w:lastColumn="0" w:lastRow="0" w:noHBand="0" w:noVBand="1" w:val="04A0"/>
      </w:tblPr>
      <w:tblGrid>
        <w:gridCol w:w="2518"/>
        <w:gridCol w:w="2518"/>
        <w:gridCol w:w="2518"/>
        <w:gridCol w:w="2518"/>
      </w:tblGrid>
      <w:tr>
        <w:tc>
          <w:tcPr>
            <w:tcW w:type="dxa" w:w="2518"/>
            <w:shd w:fill="2C3E50" w:val="clear"/>
          </w:tcPr>
          <w:p>
            <w:pPr>
              <w:jc w:val="center"/>
            </w:pPr>
            <w:r>
              <w:rPr>
                <w:b/>
                <w:color w:val="FFFFFF"/>
                <w:sz w:val="18"/>
              </w:rPr>
              <w:t>Metric</w:t>
            </w:r>
          </w:p>
        </w:tc>
        <w:tc>
          <w:tcPr>
            <w:tcW w:type="dxa" w:w="2518"/>
            <w:shd w:fill="2C3E50" w:val="clear"/>
          </w:tcPr>
          <w:p>
            <w:pPr>
              <w:jc w:val="center"/>
            </w:pPr>
            <w:r>
              <w:rPr>
                <w:b/>
                <w:color w:val="FFFFFF"/>
                <w:sz w:val="18"/>
              </w:rPr>
              <w:t>Previous (Unbalanced)</w:t>
            </w:r>
          </w:p>
        </w:tc>
        <w:tc>
          <w:tcPr>
            <w:tcW w:type="dxa" w:w="2518"/>
            <w:shd w:fill="2C3E50" w:val="clear"/>
          </w:tcPr>
          <w:p>
            <w:pPr>
              <w:jc w:val="center"/>
            </w:pPr>
            <w:r>
              <w:rPr>
                <w:b/>
                <w:color w:val="FFFFFF"/>
                <w:sz w:val="18"/>
              </w:rPr>
              <w:t>Enhanced (Balanced)</w:t>
            </w:r>
          </w:p>
        </w:tc>
        <w:tc>
          <w:tcPr>
            <w:tcW w:type="dxa" w:w="2518"/>
            <w:shd w:fill="2C3E50" w:val="clear"/>
          </w:tcPr>
          <w:p>
            <w:pPr>
              <w:jc w:val="center"/>
            </w:pPr>
            <w:r>
              <w:rPr>
                <w:b/>
                <w:color w:val="FFFFFF"/>
                <w:sz w:val="18"/>
              </w:rPr>
              <w:t>Improvement</w:t>
            </w:r>
          </w:p>
        </w:tc>
      </w:tr>
      <w:tr>
        <w:tc>
          <w:tcPr>
            <w:tcW w:type="dxa" w:w="2518"/>
          </w:tcPr>
          <w:p>
            <w:pPr>
              <w:jc w:val="center"/>
            </w:pPr>
            <w:r>
              <w:rPr>
                <w:sz w:val="18"/>
              </w:rPr>
              <w:t>Overall Accuracy</w:t>
            </w:r>
          </w:p>
        </w:tc>
        <w:tc>
          <w:tcPr>
            <w:tcW w:type="dxa" w:w="2518"/>
          </w:tcPr>
          <w:p>
            <w:pPr>
              <w:jc w:val="center"/>
            </w:pPr>
            <w:r>
              <w:rPr>
                <w:sz w:val="18"/>
              </w:rPr>
              <w:t>87.50%</w:t>
            </w:r>
          </w:p>
        </w:tc>
        <w:tc>
          <w:tcPr>
            <w:tcW w:type="dxa" w:w="2518"/>
          </w:tcPr>
          <w:p>
            <w:pPr>
              <w:jc w:val="center"/>
            </w:pPr>
            <w:r>
              <w:rPr>
                <w:sz w:val="18"/>
              </w:rPr>
              <w:t>92.88%</w:t>
            </w:r>
          </w:p>
        </w:tc>
        <w:tc>
          <w:tcPr>
            <w:tcW w:type="dxa" w:w="2518"/>
          </w:tcPr>
          <w:p>
            <w:pPr>
              <w:jc w:val="center"/>
            </w:pPr>
            <w:r>
              <w:rPr>
                <w:sz w:val="18"/>
              </w:rPr>
              <w:t>+5.37%</w:t>
            </w:r>
          </w:p>
        </w:tc>
      </w:tr>
      <w:tr>
        <w:tc>
          <w:tcPr>
            <w:tcW w:type="dxa" w:w="2518"/>
            <w:shd w:fill="EBF5FB" w:val="clear"/>
          </w:tcPr>
          <w:p>
            <w:pPr>
              <w:jc w:val="center"/>
            </w:pPr>
            <w:r>
              <w:rPr>
                <w:sz w:val="18"/>
              </w:rPr>
              <w:t>Fake Detection</w:t>
            </w:r>
          </w:p>
        </w:tc>
        <w:tc>
          <w:tcPr>
            <w:tcW w:type="dxa" w:w="2518"/>
            <w:shd w:fill="EBF5FB" w:val="clear"/>
          </w:tcPr>
          <w:p>
            <w:pPr>
              <w:jc w:val="center"/>
            </w:pPr>
            <w:r>
              <w:rPr>
                <w:sz w:val="18"/>
              </w:rPr>
              <w:t>0.00%</w:t>
            </w:r>
          </w:p>
        </w:tc>
        <w:tc>
          <w:tcPr>
            <w:tcW w:type="dxa" w:w="2518"/>
            <w:shd w:fill="EBF5FB" w:val="clear"/>
          </w:tcPr>
          <w:p>
            <w:pPr>
              <w:jc w:val="center"/>
            </w:pPr>
            <w:r>
              <w:rPr>
                <w:sz w:val="18"/>
              </w:rPr>
              <w:t>78.33%</w:t>
            </w:r>
          </w:p>
        </w:tc>
        <w:tc>
          <w:tcPr>
            <w:tcW w:type="dxa" w:w="2518"/>
            <w:shd w:fill="EBF5FB" w:val="clear"/>
          </w:tcPr>
          <w:p>
            <w:pPr>
              <w:jc w:val="center"/>
            </w:pPr>
            <w:r>
              <w:rPr>
                <w:sz w:val="18"/>
              </w:rPr>
              <w:t>+78.33%</w:t>
            </w:r>
          </w:p>
        </w:tc>
      </w:tr>
      <w:tr>
        <w:tc>
          <w:tcPr>
            <w:tcW w:type="dxa" w:w="2518"/>
          </w:tcPr>
          <w:p>
            <w:pPr>
              <w:jc w:val="center"/>
            </w:pPr>
            <w:r>
              <w:rPr>
                <w:sz w:val="18"/>
              </w:rPr>
              <w:t>Real Detection</w:t>
            </w:r>
          </w:p>
        </w:tc>
        <w:tc>
          <w:tcPr>
            <w:tcW w:type="dxa" w:w="2518"/>
          </w:tcPr>
          <w:p>
            <w:pPr>
              <w:jc w:val="center"/>
            </w:pPr>
            <w:r>
              <w:rPr>
                <w:sz w:val="18"/>
              </w:rPr>
              <w:t>100.00%</w:t>
            </w:r>
          </w:p>
        </w:tc>
        <w:tc>
          <w:tcPr>
            <w:tcW w:type="dxa" w:w="2518"/>
          </w:tcPr>
          <w:p>
            <w:pPr>
              <w:jc w:val="center"/>
            </w:pPr>
            <w:r>
              <w:rPr>
                <w:sz w:val="18"/>
              </w:rPr>
              <w:t>100.00%</w:t>
            </w:r>
          </w:p>
        </w:tc>
        <w:tc>
          <w:tcPr>
            <w:tcW w:type="dxa" w:w="2518"/>
          </w:tcPr>
          <w:p>
            <w:pPr>
              <w:jc w:val="center"/>
            </w:pPr>
            <w:r>
              <w:rPr>
                <w:sz w:val="18"/>
              </w:rPr>
              <w:t>Maintained</w:t>
            </w:r>
          </w:p>
        </w:tc>
      </w:tr>
      <w:tr>
        <w:tc>
          <w:tcPr>
            <w:tcW w:type="dxa" w:w="2518"/>
            <w:shd w:fill="EBF5FB" w:val="clear"/>
          </w:tcPr>
          <w:p>
            <w:pPr>
              <w:jc w:val="center"/>
            </w:pPr>
            <w:r>
              <w:rPr>
                <w:sz w:val="18"/>
              </w:rPr>
              <w:t>AUC Score</w:t>
            </w:r>
          </w:p>
        </w:tc>
        <w:tc>
          <w:tcPr>
            <w:tcW w:type="dxa" w:w="2518"/>
            <w:shd w:fill="EBF5FB" w:val="clear"/>
          </w:tcPr>
          <w:p>
            <w:pPr>
              <w:jc w:val="center"/>
            </w:pPr>
            <w:r>
              <w:rPr>
                <w:sz w:val="18"/>
              </w:rPr>
              <w:t>0.9048</w:t>
            </w:r>
          </w:p>
        </w:tc>
        <w:tc>
          <w:tcPr>
            <w:tcW w:type="dxa" w:w="2518"/>
            <w:shd w:fill="EBF5FB" w:val="clear"/>
          </w:tcPr>
          <w:p>
            <w:pPr>
              <w:jc w:val="center"/>
            </w:pPr>
            <w:r>
              <w:rPr>
                <w:sz w:val="18"/>
              </w:rPr>
              <w:t>0.9947</w:t>
            </w:r>
          </w:p>
        </w:tc>
        <w:tc>
          <w:tcPr>
            <w:tcW w:type="dxa" w:w="2518"/>
            <w:shd w:fill="EBF5FB" w:val="clear"/>
          </w:tcPr>
          <w:p>
            <w:pPr>
              <w:jc w:val="center"/>
            </w:pPr>
            <w:r>
              <w:rPr>
                <w:sz w:val="18"/>
              </w:rPr>
              <w:t>+0.0899</w:t>
            </w:r>
          </w:p>
        </w:tc>
      </w:tr>
      <w:tr>
        <w:tc>
          <w:tcPr>
            <w:tcW w:type="dxa" w:w="2518"/>
          </w:tcPr>
          <w:p>
            <w:pPr>
              <w:jc w:val="center"/>
            </w:pPr>
            <w:r>
              <w:rPr>
                <w:sz w:val="18"/>
              </w:rPr>
              <w:t>Loss</w:t>
            </w:r>
          </w:p>
        </w:tc>
        <w:tc>
          <w:tcPr>
            <w:tcW w:type="dxa" w:w="2518"/>
          </w:tcPr>
          <w:p>
            <w:pPr>
              <w:jc w:val="center"/>
            </w:pPr>
            <w:r>
              <w:rPr>
                <w:sz w:val="18"/>
              </w:rPr>
              <w:t>0.5087</w:t>
            </w:r>
          </w:p>
        </w:tc>
        <w:tc>
          <w:tcPr>
            <w:tcW w:type="dxa" w:w="2518"/>
          </w:tcPr>
          <w:p>
            <w:pPr>
              <w:jc w:val="center"/>
            </w:pPr>
            <w:r>
              <w:rPr>
                <w:sz w:val="18"/>
              </w:rPr>
              <w:t>0.2474</w:t>
            </w:r>
          </w:p>
        </w:tc>
        <w:tc>
          <w:tcPr>
            <w:tcW w:type="dxa" w:w="2518"/>
          </w:tcPr>
          <w:p>
            <w:pPr>
              <w:jc w:val="center"/>
            </w:pPr>
            <w:r>
              <w:rPr>
                <w:sz w:val="18"/>
              </w:rPr>
              <w:t>-51.4%</w:t>
            </w:r>
          </w:p>
        </w:tc>
      </w:tr>
    </w:tbl>
    <w:p/>
    <w:p>
      <w:r>
        <w:br w:type="page"/>
      </w:r>
    </w:p>
    <w:p>
      <w:pPr>
        <w:pStyle w:val="Heading1"/>
      </w:pPr>
      <w:r>
        <w:rPr>
          <w:rFonts w:ascii="Times New Roman" w:hAnsi="Times New Roman"/>
          <w:sz w:val="24"/>
        </w:rPr>
        <w:t>VI. Discussion</w:t>
      </w:r>
    </w:p>
    <w:p>
      <w:pPr>
        <w:pStyle w:val="ListNumber"/>
      </w:pPr>
      <w:r>
        <w:rPr>
          <w:rFonts w:ascii="Times New Roman" w:hAnsi="Times New Roman"/>
          <w:b/>
          <w:sz w:val="20"/>
        </w:rPr>
        <w:t xml:space="preserve">Explainability: </w:t>
      </w:r>
      <w:r>
        <w:rPr>
          <w:rFonts w:ascii="Times New Roman" w:hAnsi="Times New Roman"/>
          <w:sz w:val="20"/>
        </w:rPr>
        <w:t>Each feature independently scored; users understand WHY a note was rejected. Critical for trust and regulatory compliance.</w:t>
      </w:r>
    </w:p>
    <w:p>
      <w:pPr>
        <w:pStyle w:val="ListNumber"/>
      </w:pPr>
      <w:r>
        <w:rPr>
          <w:rFonts w:ascii="Times New Roman" w:hAnsi="Times New Roman"/>
          <w:b/>
          <w:sz w:val="20"/>
        </w:rPr>
        <w:t xml:space="preserve">Robustness: </w:t>
      </w:r>
      <w:r>
        <w:rPr>
          <w:rFonts w:ascii="Times New Roman" w:hAnsi="Times New Roman"/>
          <w:sz w:val="20"/>
        </w:rPr>
        <w:t>Multiple features must fail simultaneously to fool the system. A sophisticated counterfeit would need to replicate all 15 security features simultaneously.</w:t>
      </w:r>
    </w:p>
    <w:p>
      <w:pPr>
        <w:pStyle w:val="ListNumber"/>
      </w:pPr>
      <w:r>
        <w:rPr>
          <w:rFonts w:ascii="Times New Roman" w:hAnsi="Times New Roman"/>
          <w:b/>
          <w:sz w:val="20"/>
        </w:rPr>
        <w:t xml:space="preserve">Cross-Validation: </w:t>
      </w:r>
      <w:r>
        <w:rPr>
          <w:rFonts w:ascii="Times New Roman" w:hAnsi="Times New Roman"/>
          <w:sz w:val="20"/>
        </w:rPr>
        <w:t>CNN and OpenCV features validate each other. Disagreement between the two signals uncertainty.</w:t>
      </w:r>
    </w:p>
    <w:p>
      <w:pPr>
        <w:pStyle w:val="ListNumber"/>
      </w:pPr>
      <w:r>
        <w:rPr>
          <w:rFonts w:ascii="Times New Roman" w:hAnsi="Times New Roman"/>
          <w:b/>
          <w:sz w:val="20"/>
        </w:rPr>
        <w:t xml:space="preserve">Continuous Improvement: </w:t>
      </w:r>
      <w:r>
        <w:rPr>
          <w:rFonts w:ascii="Times New Roman" w:hAnsi="Times New Roman"/>
          <w:sz w:val="20"/>
        </w:rPr>
        <w:t>Easy to add new features as counterfeiting techniques evolve. Each feature is an independent module.</w:t>
      </w:r>
    </w:p>
    <w:p>
      <w:pPr>
        <w:pStyle w:val="Heading2"/>
      </w:pPr>
      <w:r>
        <w:rPr>
          <w:rFonts w:ascii="Times New Roman" w:hAnsi="Times New Roman"/>
          <w:sz w:val="22"/>
        </w:rPr>
        <w:t>B. Limitations</w:t>
      </w:r>
    </w:p>
    <w:p>
      <w:pPr>
        <w:pStyle w:val="ListBullet"/>
      </w:pPr>
      <w:r>
        <w:rPr>
          <w:rFonts w:ascii="Times New Roman" w:hAnsi="Times New Roman"/>
          <w:sz w:val="20"/>
        </w:rPr>
        <w:t>Hardware Dependency: Fluorescence detection requires UV illumination; OVI detection benefits from multi-angle capture.</w:t>
      </w:r>
    </w:p>
    <w:p>
      <w:pPr>
        <w:pStyle w:val="ListBullet"/>
      </w:pPr>
      <w:r>
        <w:rPr>
          <w:rFonts w:ascii="Times New Roman" w:hAnsi="Times New Roman"/>
          <w:sz w:val="20"/>
        </w:rPr>
        <w:t>Image Quality Sensitivity: Poor lighting, extreme angles, or motion blur reduce detection accuracy.</w:t>
      </w:r>
    </w:p>
    <w:p>
      <w:pPr>
        <w:pStyle w:val="ListBullet"/>
      </w:pPr>
      <w:r>
        <w:rPr>
          <w:rFonts w:ascii="Times New Roman" w:hAnsi="Times New Roman"/>
          <w:sz w:val="20"/>
        </w:rPr>
        <w:t>Denomination Coverage: Currently optimized for ₹500 and ₹2000. Other denominations require calibration.</w:t>
      </w:r>
    </w:p>
    <w:p>
      <w:pPr>
        <w:pStyle w:val="ListBullet"/>
      </w:pPr>
      <w:r>
        <w:rPr>
          <w:rFonts w:ascii="Times New Roman" w:hAnsi="Times New Roman"/>
          <w:sz w:val="20"/>
        </w:rPr>
        <w:t>Evolving Counterfeits: System requires periodic retraining as counterfeit techniques improve.</w:t>
      </w:r>
    </w:p>
    <w:p>
      <w:r>
        <w:br w:type="page"/>
      </w:r>
    </w:p>
    <w:p>
      <w:pPr>
        <w:pStyle w:val="Heading1"/>
      </w:pPr>
      <w:r>
        <w:rPr>
          <w:rFonts w:ascii="Times New Roman" w:hAnsi="Times New Roman"/>
          <w:sz w:val="24"/>
        </w:rPr>
        <w:t>VII. Conclusion</w:t>
      </w:r>
    </w:p>
    <w:p>
      <w:r>
        <w:rPr>
          <w:rFonts w:ascii="Times New Roman" w:hAnsi="Times New Roman"/>
          <w:sz w:val="20"/>
        </w:rPr>
        <w:t>This paper presents a significantly enhanced Fake Currency Detection System that analyzes 15 security features using a hybrid PyTorch-based ensemble approach. By combining a fine-tuned Xception CNN with comprehensive OpenCV-based computer vision analysis, class-balanced weighted loss (8.5x weight for minority class), and a novel Critical Feature Override mechanism, the system achieves 92.88% accuracy with 78.33% fake detection rate and perfect 100% real detection rate.</w:t>
      </w:r>
    </w:p>
    <w:p>
      <w:r>
        <w:rPr>
          <w:rFonts w:ascii="Times New Roman" w:hAnsi="Times New Roman"/>
          <w:sz w:val="20"/>
        </w:rPr>
        <w:t>The key innovations include: comprehensive 15-feature coverage matching RBI specifications, weighted ensemble based on feature importance, critical feature failure detection preventing false positives (40-60% reduction), class-balanced training solving the 0% fake detection problem, explainable decisions with per-feature scores, and production-ready performance (1-3 seconds per note).</w:t>
      </w:r>
    </w:p>
    <w:p>
      <w:r>
        <w:br w:type="page"/>
      </w:r>
    </w:p>
    <w:p>
      <w:pPr>
        <w:pStyle w:val="Heading1"/>
      </w:pPr>
      <w:r>
        <w:rPr>
          <w:rFonts w:ascii="Times New Roman" w:hAnsi="Times New Roman"/>
          <w:sz w:val="24"/>
        </w:rPr>
        <w:t>References</w:t>
      </w:r>
    </w:p>
    <w:p>
      <w:pPr>
        <w:spacing w:after="80"/>
      </w:pPr>
      <w:r>
        <w:rPr>
          <w:rFonts w:ascii="Times New Roman" w:hAnsi="Times New Roman"/>
          <w:sz w:val="18"/>
        </w:rPr>
        <w:t>[1] Reserve Bank of India, "Security Features of Bank Notes," https://www.rbi.org.in/commonman/English/Currency/Scripts/SecurityFeatures.aspx, accessed March 2026.</w:t>
      </w:r>
    </w:p>
    <w:p>
      <w:pPr>
        <w:spacing w:after="80"/>
      </w:pPr>
      <w:r>
        <w:rPr>
          <w:rFonts w:ascii="Times New Roman" w:hAnsi="Times New Roman"/>
          <w:sz w:val="18"/>
        </w:rPr>
        <w:t>[2] P. Trank, "Indian Currency Real vs Fake Notes Dataset," Kaggle, https://www.kaggle.com/datasets/preetrank/indian-currency-real-vs-fake-notes-dataset, accessed March 2026.</w:t>
      </w:r>
    </w:p>
    <w:p>
      <w:pPr>
        <w:spacing w:after="80"/>
      </w:pPr>
      <w:r>
        <w:rPr>
          <w:rFonts w:ascii="Times New Roman" w:hAnsi="Times New Roman"/>
          <w:sz w:val="18"/>
        </w:rPr>
        <w:t>[3] A. Kumar et al., "Fake Indian Currency Detection with Deep Learning Based Xception CNN," IJASET, vol. 11, no. 4, pp. 1234-1240, April 2023.</w:t>
      </w:r>
    </w:p>
    <w:p>
      <w:pPr>
        <w:spacing w:after="80"/>
      </w:pPr>
      <w:r>
        <w:rPr>
          <w:rFonts w:ascii="Times New Roman" w:hAnsi="Times New Roman"/>
          <w:sz w:val="18"/>
        </w:rPr>
        <w:t>[4] S. Patel and R. Singh, "Counterfeit Currency Detection Using Image Processing and OpenCV," ICCVIP, pp. 456-463, 2024.</w:t>
      </w:r>
    </w:p>
    <w:p>
      <w:pPr>
        <w:spacing w:after="80"/>
      </w:pPr>
      <w:r>
        <w:rPr>
          <w:rFonts w:ascii="Times New Roman" w:hAnsi="Times New Roman"/>
          <w:sz w:val="18"/>
        </w:rPr>
        <w:t>[5] F. Chollet, "Xception: Deep Learning with Depthwise Separable Convolutions," arXiv:1610.02357, 2017.</w:t>
      </w:r>
    </w:p>
    <w:p>
      <w:pPr>
        <w:spacing w:after="80"/>
      </w:pPr>
      <w:r>
        <w:rPr>
          <w:rFonts w:ascii="Times New Roman" w:hAnsi="Times New Roman"/>
          <w:sz w:val="18"/>
        </w:rPr>
        <w:t>[6] PyTorch Team, "PyTorch: An Imperative Style, High-Performance Deep Learning Library," NeurIPS, vol. 32, 2019.</w:t>
      </w:r>
    </w:p>
    <w:p>
      <w:pPr>
        <w:spacing w:after="80"/>
      </w:pPr>
      <w:r>
        <w:rPr>
          <w:rFonts w:ascii="Times New Roman" w:hAnsi="Times New Roman"/>
          <w:sz w:val="18"/>
        </w:rPr>
        <w:t>[7] OpenCV, "Open Source Computer Vision Library," https://opencv.org, accessed March 2026.</w:t>
      </w:r>
    </w:p>
    <w:p>
      <w:pPr>
        <w:spacing w:after="80"/>
      </w:pPr>
      <w:r>
        <w:rPr>
          <w:rFonts w:ascii="Times New Roman" w:hAnsi="Times New Roman"/>
          <w:sz w:val="18"/>
        </w:rPr>
        <w:t>[8] RBI, "Mahatma Gandhi New Series Banknotes: Design and Security Features," RBI Bulletin, vol. 70, no. 12, December 2016.</w:t>
      </w:r>
    </w:p>
    <w:p/>
    <w:p>
      <w:pPr>
        <w:pStyle w:val="Heading2"/>
      </w:pPr>
      <w:r>
        <w:rPr>
          <w:rFonts w:ascii="Times New Roman" w:hAnsi="Times New Roman"/>
          <w:sz w:val="22"/>
        </w:rPr>
        <w:t>Acknowledgment</w:t>
      </w:r>
    </w:p>
    <w:p>
      <w:r>
        <w:rPr>
          <w:rFonts w:ascii="Times New Roman" w:hAnsi="Times New Roman"/>
          <w:i/>
          <w:sz w:val="20"/>
        </w:rPr>
        <w:t>We thank the Kaggle dataset contributors for providing the foundational data that enabled this research, and the Reserve Bank of India for publicly documenting the security features that guide our feature engineering approach.</w:t>
      </w:r>
    </w:p>
    <w:sectPr w:rsidR="00FC693F" w:rsidRPr="0006063C" w:rsidSect="00034616">
      <w:pgSz w:w="12240" w:h="15840"/>
      <w:pgMar w:top="1440" w:right="1083" w:bottom="1440" w:left="108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