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D37" w:rsidRDefault="009C6A91">
      <w:pPr>
        <w:spacing w:after="80"/>
        <w:jc w:val="center"/>
      </w:pPr>
      <w:r>
        <w:rPr>
          <w:rFonts w:ascii="Times New Roman" w:hAnsi="Times New Roman"/>
          <w:b/>
          <w:sz w:val="48"/>
        </w:rPr>
        <w:t>LeJEPA: Fake Indian Currency Detection Using Sketched Isotropic Gaussian Regularization in Joint-Embedding Predictive Architectures</w:t>
      </w:r>
    </w:p>
    <w:p w:rsidR="00A87D37" w:rsidRDefault="009C6A91">
      <w:pPr>
        <w:spacing w:after="40"/>
        <w:jc w:val="center"/>
      </w:pPr>
      <w:r>
        <w:rPr>
          <w:rFonts w:ascii="Times New Roman" w:hAnsi="Times New Roman"/>
        </w:rPr>
        <w:t>First Author</w:t>
      </w:r>
    </w:p>
    <w:p w:rsidR="00A87D37" w:rsidRDefault="009C6A91">
      <w:pPr>
        <w:spacing w:after="40"/>
        <w:jc w:val="center"/>
      </w:pPr>
      <w:r>
        <w:rPr>
          <w:rFonts w:ascii="Times New Roman" w:hAnsi="Times New Roman"/>
          <w:sz w:val="18"/>
        </w:rPr>
        <w:t>Department of Computer Science and Engineering</w:t>
      </w:r>
      <w:r>
        <w:rPr>
          <w:rFonts w:ascii="Times New Roman" w:hAnsi="Times New Roman"/>
          <w:sz w:val="18"/>
        </w:rPr>
        <w:br/>
        <w:t>University Name, City, Country</w:t>
      </w:r>
      <w:r>
        <w:rPr>
          <w:rFonts w:ascii="Times New Roman" w:hAnsi="Times New Roman"/>
          <w:sz w:val="18"/>
        </w:rPr>
        <w:br/>
        <w:t>email@university.edu</w:t>
      </w:r>
    </w:p>
    <w:p w:rsidR="00A87D37" w:rsidRDefault="009C6A91">
      <w:pPr>
        <w:spacing w:before="160" w:after="40"/>
        <w:jc w:val="both"/>
      </w:pPr>
      <w:r>
        <w:rPr>
          <w:rFonts w:ascii="Times New Roman" w:hAnsi="Times New Roman"/>
          <w:b/>
          <w:i/>
          <w:sz w:val="18"/>
        </w:rPr>
        <w:t>Abstract—</w:t>
      </w:r>
      <w:r>
        <w:rPr>
          <w:rFonts w:ascii="Times New Roman" w:hAnsi="Times New Roman"/>
          <w:i/>
          <w:sz w:val="18"/>
        </w:rPr>
        <w:t xml:space="preserve">Counterfeit currency remains a persistent challenge to financial systems worldwide, particularly in cash-dominant economies such as India. Traditional detection methods rely on hand-crafted Computer Vision (CV) heuristics or fully-supervised Convolutional </w:t>
      </w:r>
      <w:r>
        <w:rPr>
          <w:rFonts w:ascii="Times New Roman" w:hAnsi="Times New Roman"/>
          <w:i/>
          <w:sz w:val="18"/>
        </w:rPr>
        <w:t>Neural Networks (CNNs), both of which suffer from limited generalizability and expensive labeling requirements. This paper presents a novel application of the recently proposed LeJEPA (Joint-Embedding Predictive Architecture with Sketched Isotropic Gaussia</w:t>
      </w:r>
      <w:r>
        <w:rPr>
          <w:rFonts w:ascii="Times New Roman" w:hAnsi="Times New Roman"/>
          <w:i/>
          <w:sz w:val="18"/>
        </w:rPr>
        <w:t>n Regularization) framework for automated fake Indian currency detection. Unlike standard JEPA variants that depend on brittle Exponential Moving Average (EMA) teacher networks, LeJEPA employs SIGReg — a mathematically principled regularization strategy th</w:t>
      </w:r>
      <w:r>
        <w:rPr>
          <w:rFonts w:ascii="Times New Roman" w:hAnsi="Times New Roman"/>
          <w:i/>
          <w:sz w:val="18"/>
        </w:rPr>
        <w:t>at enforces isotropic Gaussian structure on latent embeddings via random projection and quantile-quantile matching. We implement a full-stack detection system comprising a ViT-Tiny encoder backbone, six complementary CV feature analyzers (watermark SSIM, s</w:t>
      </w:r>
      <w:r>
        <w:rPr>
          <w:rFonts w:ascii="Times New Roman" w:hAnsi="Times New Roman"/>
          <w:i/>
          <w:sz w:val="18"/>
        </w:rPr>
        <w:t>ecurity thread detection, GLCM texture profiling, color histogram analysis, OCR serial validation, and dimensional verification), and a FastAPI-based inference pipeline. Experimental evaluation on a dataset of 7,445 Indian currency images across seven deno</w:t>
      </w:r>
      <w:r>
        <w:rPr>
          <w:rFonts w:ascii="Times New Roman" w:hAnsi="Times New Roman"/>
          <w:i/>
          <w:sz w:val="18"/>
        </w:rPr>
        <w:t>minations demonstrates that even with a single pretraining epoch on CPU hardware, LeJEPA achieves 86.48% precision in counterfeit identification, validating the effectiveness of collapse-free self-supervised representations for security-critical visual ins</w:t>
      </w:r>
      <w:r>
        <w:rPr>
          <w:rFonts w:ascii="Times New Roman" w:hAnsi="Times New Roman"/>
          <w:i/>
          <w:sz w:val="18"/>
        </w:rPr>
        <w:t>pection tasks.</w:t>
      </w:r>
    </w:p>
    <w:p w:rsidR="00A87D37" w:rsidRDefault="009C6A91">
      <w:pPr>
        <w:spacing w:before="80" w:after="120"/>
        <w:jc w:val="both"/>
      </w:pPr>
      <w:r>
        <w:rPr>
          <w:rFonts w:ascii="Times New Roman" w:hAnsi="Times New Roman"/>
          <w:b/>
          <w:i/>
          <w:sz w:val="18"/>
        </w:rPr>
        <w:t>Keywords—</w:t>
      </w:r>
      <w:r>
        <w:rPr>
          <w:rFonts w:ascii="Times New Roman" w:hAnsi="Times New Roman"/>
          <w:i/>
          <w:sz w:val="18"/>
        </w:rPr>
        <w:t>self-supervised learning, JEPA, SIGReg, counterfeit detection, Vision Transformer, representation collapse, currency authentication</w:t>
      </w:r>
    </w:p>
    <w:p w:rsidR="00A87D37" w:rsidRDefault="00A87D37">
      <w:pPr>
        <w:sectPr w:rsidR="00A87D37">
          <w:pgSz w:w="11906" w:h="16838"/>
          <w:pgMar w:top="1083" w:right="720" w:bottom="1440" w:left="1083" w:header="720" w:footer="720" w:gutter="0"/>
          <w:cols w:space="720"/>
          <w:docGrid w:linePitch="360"/>
        </w:sectPr>
      </w:pPr>
    </w:p>
    <w:p w:rsidR="00A87D37" w:rsidRDefault="009C6A91">
      <w:pPr>
        <w:spacing w:before="200" w:after="80"/>
        <w:jc w:val="center"/>
      </w:pPr>
      <w:r>
        <w:rPr>
          <w:rFonts w:ascii="Times New Roman" w:hAnsi="Times New Roman"/>
          <w:b/>
          <w:sz w:val="20"/>
        </w:rPr>
        <w:lastRenderedPageBreak/>
        <w:t>I. INTRODUCTION</w:t>
      </w:r>
    </w:p>
    <w:p w:rsidR="00A87D37" w:rsidRDefault="009C6A91">
      <w:pPr>
        <w:spacing w:after="80"/>
        <w:ind w:firstLine="357"/>
        <w:jc w:val="both"/>
      </w:pPr>
      <w:r>
        <w:rPr>
          <w:rFonts w:ascii="Times New Roman" w:hAnsi="Times New Roman"/>
          <w:sz w:val="20"/>
        </w:rPr>
        <w:t>The Reserve Bank of India (RBI) reported the detection of approximatel</w:t>
      </w:r>
      <w:r>
        <w:rPr>
          <w:rFonts w:ascii="Times New Roman" w:hAnsi="Times New Roman"/>
          <w:sz w:val="20"/>
        </w:rPr>
        <w:t>y 2.2 lakh counterfeit notes during the fiscal year 2023-24 alone, representing a 14.4% increase over the previous year [1]. This statistic underscores the growing sophistication of counterfeit operations and the urgent need for automated, scalable detecti</w:t>
      </w:r>
      <w:r>
        <w:rPr>
          <w:rFonts w:ascii="Times New Roman" w:hAnsi="Times New Roman"/>
          <w:sz w:val="20"/>
        </w:rPr>
        <w:t>on mechanisms that can be deployed at bank branches, ATMs, and point-of-sale terminals across the country.</w:t>
      </w:r>
    </w:p>
    <w:p w:rsidR="00A87D37" w:rsidRDefault="009C6A91">
      <w:pPr>
        <w:spacing w:after="80"/>
        <w:ind w:firstLine="357"/>
        <w:jc w:val="both"/>
      </w:pPr>
      <w:r>
        <w:rPr>
          <w:rFonts w:ascii="Times New Roman" w:hAnsi="Times New Roman"/>
          <w:sz w:val="20"/>
        </w:rPr>
        <w:t>Existing automated approaches broadly fall into two categories: (a) deterministic Computer Vision pipelines that extract hand-crafted features such a</w:t>
      </w:r>
      <w:r>
        <w:rPr>
          <w:rFonts w:ascii="Times New Roman" w:hAnsi="Times New Roman"/>
          <w:sz w:val="20"/>
        </w:rPr>
        <w:t xml:space="preserve">s watermark presence, security thread positioning, and color histograms using classical algorithms like SSIM, GLCM, and template matching; and (b) deep learning classifiers, typically CNNs pre-trained on ImageNet and fine-tuned on currency datasets. While </w:t>
      </w:r>
      <w:r>
        <w:rPr>
          <w:rFonts w:ascii="Times New Roman" w:hAnsi="Times New Roman"/>
          <w:sz w:val="20"/>
        </w:rPr>
        <w:t>category (a) offers interpretability, it is fragile against high-quality counterfeits that visually replicate security elements. Category (b) achieves superior accuracy but demands large annotated datasets — a resource constraint that is particularly acute</w:t>
      </w:r>
      <w:r>
        <w:rPr>
          <w:rFonts w:ascii="Times New Roman" w:hAnsi="Times New Roman"/>
          <w:sz w:val="20"/>
        </w:rPr>
        <w:t xml:space="preserve"> in the domain of currency forgery, where genuine counterfeit specimens are restricted by law enforcement access.</w:t>
      </w:r>
    </w:p>
    <w:p w:rsidR="00A87D37" w:rsidRDefault="009C6A91">
      <w:pPr>
        <w:spacing w:after="80"/>
        <w:ind w:firstLine="357"/>
        <w:jc w:val="both"/>
      </w:pPr>
      <w:r>
        <w:rPr>
          <w:rFonts w:ascii="Times New Roman" w:hAnsi="Times New Roman"/>
          <w:sz w:val="20"/>
        </w:rPr>
        <w:t>Self-Supervised Learning (SSL) has emerged as a compelling paradigm to bridge this gap. By learning visual representations from unlabeled data</w:t>
      </w:r>
      <w:r>
        <w:rPr>
          <w:rFonts w:ascii="Times New Roman" w:hAnsi="Times New Roman"/>
          <w:sz w:val="20"/>
        </w:rPr>
        <w:t xml:space="preserve"> through pretext tasks, SSL methods reduce dependence on manual annotation. </w:t>
      </w:r>
      <w:r>
        <w:rPr>
          <w:rFonts w:ascii="Times New Roman" w:hAnsi="Times New Roman"/>
          <w:sz w:val="20"/>
        </w:rPr>
        <w:lastRenderedPageBreak/>
        <w:t>Among recent SSL architectures, the Joint-Embedding Predictive Architecture (JEPA) proposed by LeCun [2] predicts missing contextual information in embedding space rather than pixe</w:t>
      </w:r>
      <w:r>
        <w:rPr>
          <w:rFonts w:ascii="Times New Roman" w:hAnsi="Times New Roman"/>
          <w:sz w:val="20"/>
        </w:rPr>
        <w:t xml:space="preserve">l space, enabling the model to capture high-level semantic structure. However, standard JEPA implementations suffer from representation collapse — where all inputs map to trivially identical embeddings — and rely on heuristic solutions such as Exponential </w:t>
      </w:r>
      <w:r>
        <w:rPr>
          <w:rFonts w:ascii="Times New Roman" w:hAnsi="Times New Roman"/>
          <w:sz w:val="20"/>
        </w:rPr>
        <w:t>Moving Average (EMA) momentum scheduling for the teacher network.</w:t>
      </w:r>
    </w:p>
    <w:p w:rsidR="00A87D37" w:rsidRDefault="009C6A91">
      <w:pPr>
        <w:spacing w:after="80"/>
        <w:ind w:firstLine="357"/>
        <w:jc w:val="both"/>
      </w:pPr>
      <w:r>
        <w:rPr>
          <w:rFonts w:ascii="Times New Roman" w:hAnsi="Times New Roman"/>
          <w:sz w:val="20"/>
        </w:rPr>
        <w:t>This paper addresses these limitations by deploying LeJEPA [3], a recently proposed variant that replaces EMA-based collapse prevention with Sketched Isotropic Gaussian Regularization (SIGRe</w:t>
      </w:r>
      <w:r>
        <w:rPr>
          <w:rFonts w:ascii="Times New Roman" w:hAnsi="Times New Roman"/>
          <w:sz w:val="20"/>
        </w:rPr>
        <w:t>g). We present the first application of LeJEPA to the domain of currency authentication and demonstrate that SIGReg's mathematically principled approach to representation stability translates directly into superior classification metrics, particularly prec</w:t>
      </w:r>
      <w:r>
        <w:rPr>
          <w:rFonts w:ascii="Times New Roman" w:hAnsi="Times New Roman"/>
          <w:sz w:val="20"/>
        </w:rPr>
        <w:t>ision — which is the critical metric for avoiding false acceptance of counterfeit notes.</w:t>
      </w:r>
    </w:p>
    <w:p w:rsidR="00A87D37" w:rsidRDefault="009C6A91">
      <w:pPr>
        <w:spacing w:before="200" w:after="80"/>
        <w:jc w:val="center"/>
      </w:pPr>
      <w:r>
        <w:rPr>
          <w:rFonts w:ascii="Times New Roman" w:hAnsi="Times New Roman"/>
          <w:b/>
          <w:sz w:val="20"/>
        </w:rPr>
        <w:t>II. RELATED WORK</w:t>
      </w:r>
    </w:p>
    <w:p w:rsidR="00A87D37" w:rsidRDefault="009C6A91">
      <w:pPr>
        <w:spacing w:before="120" w:after="40"/>
      </w:pPr>
      <w:r>
        <w:rPr>
          <w:rFonts w:ascii="Times New Roman" w:hAnsi="Times New Roman"/>
          <w:i/>
          <w:sz w:val="20"/>
        </w:rPr>
        <w:t>A. Traditional CV-Based Detection</w:t>
      </w:r>
    </w:p>
    <w:p w:rsidR="00A87D37" w:rsidRDefault="009C6A91">
      <w:pPr>
        <w:spacing w:after="80"/>
        <w:ind w:firstLine="357"/>
        <w:jc w:val="both"/>
      </w:pPr>
      <w:r>
        <w:rPr>
          <w:rFonts w:ascii="Times New Roman" w:hAnsi="Times New Roman"/>
          <w:sz w:val="20"/>
        </w:rPr>
        <w:t>Kumar et al. [4] proposed a multi-stage pipeline combining UV fluorescence analysis with GLCM-based texture features</w:t>
      </w:r>
      <w:r>
        <w:rPr>
          <w:rFonts w:ascii="Times New Roman" w:hAnsi="Times New Roman"/>
          <w:sz w:val="20"/>
        </w:rPr>
        <w:t xml:space="preserve"> for detecting counterfeit Indian banknotes, achieving 89% accuracy on a controlled dataset. Bhargava and Kaur [5] utilized SIFT-based feature matching against </w:t>
      </w:r>
      <w:r>
        <w:rPr>
          <w:rFonts w:ascii="Times New Roman" w:hAnsi="Times New Roman"/>
          <w:sz w:val="20"/>
        </w:rPr>
        <w:lastRenderedPageBreak/>
        <w:t>template watermark images, reporting 92% detection rates for ₹500 and ₹2000 denominations. While</w:t>
      </w:r>
      <w:r>
        <w:rPr>
          <w:rFonts w:ascii="Times New Roman" w:hAnsi="Times New Roman"/>
          <w:sz w:val="20"/>
        </w:rPr>
        <w:t xml:space="preserve"> effective in laboratory conditions, these methods rely on precisely calibrated imaging equipment and predefined templates that cannot generalize to novel counterfeit strategies.</w:t>
      </w:r>
    </w:p>
    <w:p w:rsidR="00A87D37" w:rsidRDefault="009C6A91">
      <w:pPr>
        <w:spacing w:before="120" w:after="40"/>
      </w:pPr>
      <w:r>
        <w:rPr>
          <w:rFonts w:ascii="Times New Roman" w:hAnsi="Times New Roman"/>
          <w:i/>
          <w:sz w:val="20"/>
        </w:rPr>
        <w:t>B. CNN-Based Approaches</w:t>
      </w:r>
    </w:p>
    <w:p w:rsidR="00A87D37" w:rsidRDefault="009C6A91">
      <w:pPr>
        <w:spacing w:after="80"/>
        <w:ind w:firstLine="357"/>
        <w:jc w:val="both"/>
      </w:pPr>
      <w:r>
        <w:rPr>
          <w:rFonts w:ascii="Times New Roman" w:hAnsi="Times New Roman"/>
          <w:sz w:val="20"/>
        </w:rPr>
        <w:t>Transfer learning with pre-trained CNNs has become th</w:t>
      </w:r>
      <w:r>
        <w:rPr>
          <w:rFonts w:ascii="Times New Roman" w:hAnsi="Times New Roman"/>
          <w:sz w:val="20"/>
        </w:rPr>
        <w:t>e de facto standard for currency classification. Sarkar et al. [6] fine-tuned ResNet-50 on a dataset of 5,000 Indian currency images, achieving 94.5% accuracy. However, their work required fully supervised labeling of every training sample and exhibited si</w:t>
      </w:r>
      <w:r>
        <w:rPr>
          <w:rFonts w:ascii="Times New Roman" w:hAnsi="Times New Roman"/>
          <w:sz w:val="20"/>
        </w:rPr>
        <w:t>gnificant performance degradation when tested on denominations absent from the training set. VGG-16 and InceptionV3 architectures have been similarly deployed [7], consistently demonstrating the trade-off between high accuracy on seen distributions and poo</w:t>
      </w:r>
      <w:r>
        <w:rPr>
          <w:rFonts w:ascii="Times New Roman" w:hAnsi="Times New Roman"/>
          <w:sz w:val="20"/>
        </w:rPr>
        <w:t>r generalization on unseen ones.</w:t>
      </w:r>
    </w:p>
    <w:p w:rsidR="00A87D37" w:rsidRDefault="009C6A91">
      <w:pPr>
        <w:spacing w:before="120" w:after="40"/>
      </w:pPr>
      <w:r>
        <w:rPr>
          <w:rFonts w:ascii="Times New Roman" w:hAnsi="Times New Roman"/>
          <w:i/>
          <w:sz w:val="20"/>
        </w:rPr>
        <w:t>C. Self-Supervised Visual Learning</w:t>
      </w:r>
    </w:p>
    <w:p w:rsidR="00A87D37" w:rsidRDefault="009C6A91">
      <w:pPr>
        <w:spacing w:after="80"/>
        <w:ind w:firstLine="357"/>
        <w:jc w:val="both"/>
      </w:pPr>
      <w:r>
        <w:rPr>
          <w:rFonts w:ascii="Times New Roman" w:hAnsi="Times New Roman"/>
          <w:sz w:val="20"/>
        </w:rPr>
        <w:t>The SSL paradigm addresses the labeling bottleneck by leveraging pretext tasks on unlabeled data. Masked Autoencoders (MAE) [8] reconstruct masked pixel patches, learning useful visual rep</w:t>
      </w:r>
      <w:r>
        <w:rPr>
          <w:rFonts w:ascii="Times New Roman" w:hAnsi="Times New Roman"/>
          <w:sz w:val="20"/>
        </w:rPr>
        <w:t xml:space="preserve">resentations in the process. However, MAE operates in pixel space, which forces the model to dedicate significant capacity to low-level texture reconstruction rather than high-level semantic understanding. The JEPA framework [2] resolves this by operating </w:t>
      </w:r>
      <w:r>
        <w:rPr>
          <w:rFonts w:ascii="Times New Roman" w:hAnsi="Times New Roman"/>
          <w:sz w:val="20"/>
        </w:rPr>
        <w:t>entirely in embedding space: the model predicts the representation of masked patches from visible context patches, learning abstract semantic features. Despite its theoretical elegance, JEPA's reliance on an EMA-driven teacher network introduces architectu</w:t>
      </w:r>
      <w:r>
        <w:rPr>
          <w:rFonts w:ascii="Times New Roman" w:hAnsi="Times New Roman"/>
          <w:sz w:val="20"/>
        </w:rPr>
        <w:t>ral complexity and tuning fragility, particularly on small datasets. LeJEPA [3] eliminates this dependency through SIGReg, which we detail in Section III.</w:t>
      </w:r>
    </w:p>
    <w:p w:rsidR="00A87D37" w:rsidRDefault="009C6A91">
      <w:pPr>
        <w:spacing w:before="200" w:after="80"/>
        <w:jc w:val="center"/>
      </w:pPr>
      <w:r>
        <w:rPr>
          <w:rFonts w:ascii="Times New Roman" w:hAnsi="Times New Roman"/>
          <w:b/>
          <w:sz w:val="20"/>
        </w:rPr>
        <w:t>III. PROPOSED METHODOLOGY</w:t>
      </w:r>
    </w:p>
    <w:p w:rsidR="00A87D37" w:rsidRDefault="009C6A91">
      <w:pPr>
        <w:spacing w:after="80"/>
        <w:ind w:firstLine="357"/>
        <w:jc w:val="both"/>
      </w:pPr>
      <w:r>
        <w:rPr>
          <w:rFonts w:ascii="Times New Roman" w:hAnsi="Times New Roman"/>
          <w:sz w:val="20"/>
        </w:rPr>
        <w:t>Our system integrates two complementary detection modalities: (1) a LeJEPA-</w:t>
      </w:r>
      <w:r>
        <w:rPr>
          <w:rFonts w:ascii="Times New Roman" w:hAnsi="Times New Roman"/>
          <w:sz w:val="20"/>
        </w:rPr>
        <w:t>based deep representation learner that captures semantic currency features via self-supervised pretraining, and (2) six traditional CV analyzers that extract interpretable physical security features. An ensemble scoring mechanism combines both modalities t</w:t>
      </w:r>
      <w:r>
        <w:rPr>
          <w:rFonts w:ascii="Times New Roman" w:hAnsi="Times New Roman"/>
          <w:sz w:val="20"/>
        </w:rPr>
        <w:t>o produce a final authenticity verdict.</w:t>
      </w:r>
    </w:p>
    <w:p w:rsidR="00A87D37" w:rsidRDefault="009C6A91" w:rsidP="002E409A">
      <w:pPr>
        <w:spacing w:before="120"/>
        <w:jc w:val="center"/>
      </w:pPr>
      <w:r>
        <w:rPr>
          <w:noProof/>
          <w:lang w:val="en-IN" w:eastAsia="en-IN"/>
        </w:rPr>
        <w:lastRenderedPageBreak/>
        <w:drawing>
          <wp:inline distT="0" distB="0" distL="0" distR="0">
            <wp:extent cx="3108960" cy="1531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3108960" cy="1531951"/>
                    </a:xfrm>
                    <a:prstGeom prst="rect">
                      <a:avLst/>
                    </a:prstGeom>
                  </pic:spPr>
                </pic:pic>
              </a:graphicData>
            </a:graphic>
          </wp:inline>
        </w:drawing>
      </w:r>
      <w:r>
        <w:rPr>
          <w:rFonts w:ascii="Times New Roman" w:hAnsi="Times New Roman"/>
          <w:i/>
          <w:sz w:val="16"/>
        </w:rPr>
        <w:t>Fig. 1. LeJEPA Architecture with SIGReg Regularization and Multi-Block Masking Strategy</w:t>
      </w:r>
    </w:p>
    <w:p w:rsidR="00A87D37" w:rsidRDefault="009C6A91">
      <w:pPr>
        <w:spacing w:before="120" w:after="40"/>
      </w:pPr>
      <w:r>
        <w:rPr>
          <w:rFonts w:ascii="Times New Roman" w:hAnsi="Times New Roman"/>
          <w:i/>
          <w:sz w:val="20"/>
        </w:rPr>
        <w:t>A. Vision Transformer Encoder (ViT-Tiny)</w:t>
      </w:r>
    </w:p>
    <w:p w:rsidR="00A87D37" w:rsidRDefault="009C6A91">
      <w:pPr>
        <w:spacing w:after="80"/>
        <w:ind w:firstLine="357"/>
        <w:jc w:val="both"/>
      </w:pPr>
      <w:r>
        <w:rPr>
          <w:rFonts w:ascii="Times New Roman" w:hAnsi="Times New Roman"/>
          <w:sz w:val="20"/>
        </w:rPr>
        <w:t xml:space="preserve">We adopt the ViT-Tiny configuration as our backbone encoder, consisting of 12 </w:t>
      </w:r>
      <w:r>
        <w:rPr>
          <w:rFonts w:ascii="Times New Roman" w:hAnsi="Times New Roman"/>
          <w:sz w:val="20"/>
        </w:rPr>
        <w:t>transformer blocks with an embedding dimension of 192 and 3 attention heads per block. Input images are resized to 224×224 pixels and decomposed into 196 non-overlapping patches of 16×16 pixels each. Learnable position embeddings are added to provide spati</w:t>
      </w:r>
      <w:r>
        <w:rPr>
          <w:rFonts w:ascii="Times New Roman" w:hAnsi="Times New Roman"/>
          <w:sz w:val="20"/>
        </w:rPr>
        <w:t>al context. The architecture parameters are summarized in Table I.</w:t>
      </w:r>
    </w:p>
    <w:tbl>
      <w:tblPr>
        <w:tblStyle w:val="TableGrid"/>
        <w:tblW w:w="0" w:type="auto"/>
        <w:jc w:val="center"/>
        <w:tblLook w:val="04A0" w:firstRow="1" w:lastRow="0" w:firstColumn="1" w:lastColumn="0" w:noHBand="0" w:noVBand="1"/>
      </w:tblPr>
      <w:tblGrid>
        <w:gridCol w:w="2657"/>
        <w:gridCol w:w="2430"/>
      </w:tblGrid>
      <w:tr w:rsidR="00A87D37">
        <w:trPr>
          <w:jc w:val="center"/>
        </w:trPr>
        <w:tc>
          <w:tcPr>
            <w:tcW w:w="5051" w:type="dxa"/>
            <w:shd w:val="clear" w:color="auto" w:fill="1565C0"/>
          </w:tcPr>
          <w:p w:rsidR="00A87D37" w:rsidRDefault="009C6A91">
            <w:r>
              <w:rPr>
                <w:rFonts w:ascii="Times New Roman" w:hAnsi="Times New Roman"/>
                <w:b/>
                <w:color w:val="FFFFFF"/>
                <w:sz w:val="16"/>
              </w:rPr>
              <w:t>Parameter</w:t>
            </w:r>
          </w:p>
        </w:tc>
        <w:tc>
          <w:tcPr>
            <w:tcW w:w="5051" w:type="dxa"/>
            <w:shd w:val="clear" w:color="auto" w:fill="1565C0"/>
          </w:tcPr>
          <w:p w:rsidR="00A87D37" w:rsidRDefault="009C6A91">
            <w:r>
              <w:rPr>
                <w:rFonts w:ascii="Times New Roman" w:hAnsi="Times New Roman"/>
                <w:b/>
                <w:color w:val="FFFFFF"/>
                <w:sz w:val="16"/>
              </w:rPr>
              <w:t>Value</w:t>
            </w:r>
          </w:p>
        </w:tc>
      </w:tr>
      <w:tr w:rsidR="00A87D37">
        <w:trPr>
          <w:jc w:val="center"/>
        </w:trPr>
        <w:tc>
          <w:tcPr>
            <w:tcW w:w="5051" w:type="dxa"/>
          </w:tcPr>
          <w:p w:rsidR="00A87D37" w:rsidRDefault="009C6A91">
            <w:r>
              <w:rPr>
                <w:rFonts w:ascii="Times New Roman" w:hAnsi="Times New Roman"/>
                <w:sz w:val="16"/>
              </w:rPr>
              <w:t>Image Resolution</w:t>
            </w:r>
          </w:p>
        </w:tc>
        <w:tc>
          <w:tcPr>
            <w:tcW w:w="5051" w:type="dxa"/>
          </w:tcPr>
          <w:p w:rsidR="00A87D37" w:rsidRDefault="009C6A91">
            <w:r>
              <w:rPr>
                <w:rFonts w:ascii="Times New Roman" w:hAnsi="Times New Roman"/>
                <w:sz w:val="16"/>
              </w:rPr>
              <w:t>224 × 224</w:t>
            </w:r>
          </w:p>
        </w:tc>
      </w:tr>
      <w:tr w:rsidR="00A87D37">
        <w:trPr>
          <w:jc w:val="center"/>
        </w:trPr>
        <w:tc>
          <w:tcPr>
            <w:tcW w:w="5051" w:type="dxa"/>
          </w:tcPr>
          <w:p w:rsidR="00A87D37" w:rsidRDefault="009C6A91">
            <w:r>
              <w:rPr>
                <w:rFonts w:ascii="Times New Roman" w:hAnsi="Times New Roman"/>
                <w:sz w:val="16"/>
              </w:rPr>
              <w:t>Patch Size</w:t>
            </w:r>
          </w:p>
        </w:tc>
        <w:tc>
          <w:tcPr>
            <w:tcW w:w="5051" w:type="dxa"/>
          </w:tcPr>
          <w:p w:rsidR="00A87D37" w:rsidRDefault="009C6A91">
            <w:r>
              <w:rPr>
                <w:rFonts w:ascii="Times New Roman" w:hAnsi="Times New Roman"/>
                <w:sz w:val="16"/>
              </w:rPr>
              <w:t>16 × 16</w:t>
            </w:r>
          </w:p>
        </w:tc>
      </w:tr>
      <w:tr w:rsidR="00A87D37">
        <w:trPr>
          <w:jc w:val="center"/>
        </w:trPr>
        <w:tc>
          <w:tcPr>
            <w:tcW w:w="5051" w:type="dxa"/>
          </w:tcPr>
          <w:p w:rsidR="00A87D37" w:rsidRDefault="009C6A91">
            <w:r>
              <w:rPr>
                <w:rFonts w:ascii="Times New Roman" w:hAnsi="Times New Roman"/>
                <w:sz w:val="16"/>
              </w:rPr>
              <w:t>Number of Patches</w:t>
            </w:r>
          </w:p>
        </w:tc>
        <w:tc>
          <w:tcPr>
            <w:tcW w:w="5051" w:type="dxa"/>
          </w:tcPr>
          <w:p w:rsidR="00A87D37" w:rsidRDefault="009C6A91">
            <w:r>
              <w:rPr>
                <w:rFonts w:ascii="Times New Roman" w:hAnsi="Times New Roman"/>
                <w:sz w:val="16"/>
              </w:rPr>
              <w:t>196</w:t>
            </w:r>
          </w:p>
        </w:tc>
      </w:tr>
      <w:tr w:rsidR="00A87D37">
        <w:trPr>
          <w:jc w:val="center"/>
        </w:trPr>
        <w:tc>
          <w:tcPr>
            <w:tcW w:w="5051" w:type="dxa"/>
          </w:tcPr>
          <w:p w:rsidR="00A87D37" w:rsidRDefault="009C6A91">
            <w:r>
              <w:rPr>
                <w:rFonts w:ascii="Times New Roman" w:hAnsi="Times New Roman"/>
                <w:sz w:val="16"/>
              </w:rPr>
              <w:t>Embedding Dimension</w:t>
            </w:r>
          </w:p>
        </w:tc>
        <w:tc>
          <w:tcPr>
            <w:tcW w:w="5051" w:type="dxa"/>
          </w:tcPr>
          <w:p w:rsidR="00A87D37" w:rsidRDefault="009C6A91">
            <w:r>
              <w:rPr>
                <w:rFonts w:ascii="Times New Roman" w:hAnsi="Times New Roman"/>
                <w:sz w:val="16"/>
              </w:rPr>
              <w:t>192</w:t>
            </w:r>
          </w:p>
        </w:tc>
      </w:tr>
      <w:tr w:rsidR="00A87D37">
        <w:trPr>
          <w:jc w:val="center"/>
        </w:trPr>
        <w:tc>
          <w:tcPr>
            <w:tcW w:w="5051" w:type="dxa"/>
          </w:tcPr>
          <w:p w:rsidR="00A87D37" w:rsidRDefault="009C6A91">
            <w:r>
              <w:rPr>
                <w:rFonts w:ascii="Times New Roman" w:hAnsi="Times New Roman"/>
                <w:sz w:val="16"/>
              </w:rPr>
              <w:t>Transformer Depth</w:t>
            </w:r>
          </w:p>
        </w:tc>
        <w:tc>
          <w:tcPr>
            <w:tcW w:w="5051" w:type="dxa"/>
          </w:tcPr>
          <w:p w:rsidR="00A87D37" w:rsidRDefault="009C6A91">
            <w:r>
              <w:rPr>
                <w:rFonts w:ascii="Times New Roman" w:hAnsi="Times New Roman"/>
                <w:sz w:val="16"/>
              </w:rPr>
              <w:t>12 blocks</w:t>
            </w:r>
          </w:p>
        </w:tc>
      </w:tr>
      <w:tr w:rsidR="00A87D37">
        <w:trPr>
          <w:jc w:val="center"/>
        </w:trPr>
        <w:tc>
          <w:tcPr>
            <w:tcW w:w="5051" w:type="dxa"/>
          </w:tcPr>
          <w:p w:rsidR="00A87D37" w:rsidRDefault="009C6A91">
            <w:r>
              <w:rPr>
                <w:rFonts w:ascii="Times New Roman" w:hAnsi="Times New Roman"/>
                <w:sz w:val="16"/>
              </w:rPr>
              <w:t>Attention Heads</w:t>
            </w:r>
          </w:p>
        </w:tc>
        <w:tc>
          <w:tcPr>
            <w:tcW w:w="5051" w:type="dxa"/>
          </w:tcPr>
          <w:p w:rsidR="00A87D37" w:rsidRDefault="009C6A91">
            <w:r>
              <w:rPr>
                <w:rFonts w:ascii="Times New Roman" w:hAnsi="Times New Roman"/>
                <w:sz w:val="16"/>
              </w:rPr>
              <w:t>3</w:t>
            </w:r>
          </w:p>
        </w:tc>
      </w:tr>
      <w:tr w:rsidR="00A87D37">
        <w:trPr>
          <w:jc w:val="center"/>
        </w:trPr>
        <w:tc>
          <w:tcPr>
            <w:tcW w:w="5051" w:type="dxa"/>
          </w:tcPr>
          <w:p w:rsidR="00A87D37" w:rsidRDefault="009C6A91">
            <w:r>
              <w:rPr>
                <w:rFonts w:ascii="Times New Roman" w:hAnsi="Times New Roman"/>
                <w:sz w:val="16"/>
              </w:rPr>
              <w:t>MLP Ratio</w:t>
            </w:r>
          </w:p>
        </w:tc>
        <w:tc>
          <w:tcPr>
            <w:tcW w:w="5051" w:type="dxa"/>
          </w:tcPr>
          <w:p w:rsidR="00A87D37" w:rsidRDefault="009C6A91">
            <w:r>
              <w:rPr>
                <w:rFonts w:ascii="Times New Roman" w:hAnsi="Times New Roman"/>
                <w:sz w:val="16"/>
              </w:rPr>
              <w:t>4.0</w:t>
            </w:r>
          </w:p>
        </w:tc>
      </w:tr>
    </w:tbl>
    <w:p w:rsidR="00A87D37" w:rsidRDefault="009C6A91">
      <w:pPr>
        <w:spacing w:after="120"/>
        <w:jc w:val="center"/>
      </w:pPr>
      <w:r>
        <w:rPr>
          <w:rFonts w:ascii="Times New Roman" w:hAnsi="Times New Roman"/>
          <w:b/>
          <w:sz w:val="16"/>
        </w:rPr>
        <w:t xml:space="preserve">TABLE I. </w:t>
      </w:r>
      <w:r>
        <w:rPr>
          <w:rFonts w:ascii="Times New Roman" w:hAnsi="Times New Roman"/>
          <w:b/>
          <w:sz w:val="16"/>
        </w:rPr>
        <w:t>ViT-Tiny Encoder Configuration</w:t>
      </w:r>
    </w:p>
    <w:p w:rsidR="00A87D37" w:rsidRDefault="009C6A91">
      <w:pPr>
        <w:spacing w:before="120" w:after="40"/>
      </w:pPr>
      <w:r>
        <w:rPr>
          <w:rFonts w:ascii="Times New Roman" w:hAnsi="Times New Roman"/>
          <w:i/>
          <w:sz w:val="20"/>
        </w:rPr>
        <w:t>B. SIGReg: Sketched Isotropic Gaussian Regularization</w:t>
      </w:r>
    </w:p>
    <w:p w:rsidR="00A87D37" w:rsidRDefault="009C6A91">
      <w:pPr>
        <w:spacing w:after="80"/>
        <w:ind w:firstLine="357"/>
        <w:jc w:val="both"/>
      </w:pPr>
      <w:r>
        <w:rPr>
          <w:rFonts w:ascii="Times New Roman" w:hAnsi="Times New Roman"/>
          <w:sz w:val="20"/>
        </w:rPr>
        <w:t>The central innovation of LeJEPA is SIGReg, which replaces the EMA teacher with a mathematically principled loss function. Given a batch of N encoded embeddings Z ∈ ℝ</w:t>
      </w:r>
      <w:r>
        <w:rPr>
          <w:rFonts w:ascii="Times New Roman" w:hAnsi="Times New Roman"/>
          <w:sz w:val="20"/>
        </w:rPr>
        <w:t>ᴺ</w:t>
      </w:r>
      <w:r>
        <w:rPr>
          <w:rFonts w:ascii="Times New Roman" w:hAnsi="Times New Roman"/>
          <w:sz w:val="20"/>
        </w:rPr>
        <w:t>ˣ</w:t>
      </w:r>
      <w:r>
        <w:rPr>
          <w:rFonts w:ascii="Times New Roman" w:hAnsi="Times New Roman"/>
          <w:sz w:val="20"/>
        </w:rPr>
        <w:t>ᴰ</w:t>
      </w:r>
      <w:r>
        <w:rPr>
          <w:rFonts w:ascii="Times New Roman" w:hAnsi="Times New Roman"/>
          <w:sz w:val="20"/>
        </w:rPr>
        <w:t xml:space="preserve">, </w:t>
      </w:r>
      <w:r>
        <w:rPr>
          <w:rFonts w:ascii="Times New Roman" w:hAnsi="Times New Roman"/>
          <w:sz w:val="20"/>
        </w:rPr>
        <w:t>SIGReg operates as follows: (1) Center and standardize Z per dimension; (2) Generate K random unit-norm projection vectors; (3) Project Z onto each direction, yielding K univariate distributions; (4) Sort each projected distribution and compare against the</w:t>
      </w:r>
      <w:r>
        <w:rPr>
          <w:rFonts w:ascii="Times New Roman" w:hAnsi="Times New Roman"/>
          <w:sz w:val="20"/>
        </w:rPr>
        <w:t xml:space="preserve"> expected quantiles of a standard Gaussian via L2 distance. The total SIGReg loss is the mean quantile-matching error across all projections. This directly enforces that the embedding distribution matches an isotropic Gaussian — mathematically preventing c</w:t>
      </w:r>
      <w:r>
        <w:rPr>
          <w:rFonts w:ascii="Times New Roman" w:hAnsi="Times New Roman"/>
          <w:sz w:val="20"/>
        </w:rPr>
        <w:t>ollapse without any moving-average networks.</w:t>
      </w:r>
    </w:p>
    <w:p w:rsidR="00A87D37" w:rsidRDefault="009C6A91">
      <w:pPr>
        <w:spacing w:after="80"/>
        <w:ind w:firstLine="357"/>
        <w:jc w:val="both"/>
      </w:pPr>
      <w:r>
        <w:rPr>
          <w:rFonts w:ascii="Times New Roman" w:hAnsi="Times New Roman"/>
          <w:sz w:val="20"/>
        </w:rPr>
        <w:t>Our implementation additionally incorporates two auxiliary regularizers: (a) a variance loss that penalizes per-dimension variance deviations from unity via a ReLU hinge, and (b) a covariance loss that drives of</w:t>
      </w:r>
      <w:r>
        <w:rPr>
          <w:rFonts w:ascii="Times New Roman" w:hAnsi="Times New Roman"/>
          <w:sz w:val="20"/>
        </w:rPr>
        <w:t>f-diagonal covariance entries toward zero, promoting decorrelation across embedding dimensions.</w:t>
      </w:r>
    </w:p>
    <w:p w:rsidR="00A87D37" w:rsidRDefault="009C6A91">
      <w:pPr>
        <w:spacing w:before="120" w:after="40"/>
      </w:pPr>
      <w:r>
        <w:rPr>
          <w:rFonts w:ascii="Times New Roman" w:hAnsi="Times New Roman"/>
          <w:i/>
          <w:sz w:val="20"/>
        </w:rPr>
        <w:t>C. Multi-Block Masking Strategy</w:t>
      </w:r>
    </w:p>
    <w:p w:rsidR="00A87D37" w:rsidRDefault="009C6A91">
      <w:pPr>
        <w:spacing w:after="80"/>
        <w:ind w:firstLine="357"/>
        <w:jc w:val="both"/>
      </w:pPr>
      <w:r>
        <w:rPr>
          <w:rFonts w:ascii="Times New Roman" w:hAnsi="Times New Roman"/>
          <w:sz w:val="20"/>
        </w:rPr>
        <w:t>During pretraining, we employ a multi-block masking strategy where 4 contiguous rectangular blocks of patches are randomly selec</w:t>
      </w:r>
      <w:r>
        <w:rPr>
          <w:rFonts w:ascii="Times New Roman" w:hAnsi="Times New Roman"/>
          <w:sz w:val="20"/>
        </w:rPr>
        <w:t xml:space="preserve">ted as prediction targets. The context encoder processes only the visible (unmasked) patches, </w:t>
      </w:r>
      <w:r>
        <w:rPr>
          <w:rFonts w:ascii="Times New Roman" w:hAnsi="Times New Roman"/>
          <w:sz w:val="20"/>
        </w:rPr>
        <w:lastRenderedPageBreak/>
        <w:t>while a lightweight 6-block predictor transformer attempts to reconstruct the embeddings of the masked regions. This encourages the encoder to build rich contextu</w:t>
      </w:r>
      <w:r>
        <w:rPr>
          <w:rFonts w:ascii="Times New Roman" w:hAnsi="Times New Roman"/>
          <w:sz w:val="20"/>
        </w:rPr>
        <w:t>al representations that capture global currency layout semantics.</w:t>
      </w:r>
    </w:p>
    <w:p w:rsidR="00A87D37" w:rsidRDefault="009C6A91">
      <w:pPr>
        <w:spacing w:before="120" w:after="40"/>
      </w:pPr>
      <w:r>
        <w:rPr>
          <w:rFonts w:ascii="Times New Roman" w:hAnsi="Times New Roman"/>
          <w:i/>
          <w:sz w:val="20"/>
        </w:rPr>
        <w:t>D. Traditional CV Feature Analyzers</w:t>
      </w:r>
    </w:p>
    <w:p w:rsidR="00A87D37" w:rsidRDefault="009C6A91">
      <w:pPr>
        <w:spacing w:after="80"/>
        <w:ind w:firstLine="357"/>
        <w:jc w:val="both"/>
      </w:pPr>
      <w:r>
        <w:rPr>
          <w:rFonts w:ascii="Times New Roman" w:hAnsi="Times New Roman"/>
          <w:sz w:val="20"/>
        </w:rPr>
        <w:t xml:space="preserve">To provide interpretable feature-level analysis alongside the deep learning classification, we implement six specialized analyzers as summarized in Table </w:t>
      </w:r>
      <w:r>
        <w:rPr>
          <w:rFonts w:ascii="Times New Roman" w:hAnsi="Times New Roman"/>
          <w:sz w:val="20"/>
        </w:rPr>
        <w:t>II.</w:t>
      </w:r>
    </w:p>
    <w:tbl>
      <w:tblPr>
        <w:tblStyle w:val="TableGrid"/>
        <w:tblW w:w="0" w:type="auto"/>
        <w:jc w:val="center"/>
        <w:tblLook w:val="04A0" w:firstRow="1" w:lastRow="0" w:firstColumn="1" w:lastColumn="0" w:noHBand="0" w:noVBand="1"/>
      </w:tblPr>
      <w:tblGrid>
        <w:gridCol w:w="1638"/>
        <w:gridCol w:w="1753"/>
        <w:gridCol w:w="1696"/>
      </w:tblGrid>
      <w:tr w:rsidR="00A87D37">
        <w:trPr>
          <w:jc w:val="center"/>
        </w:trPr>
        <w:tc>
          <w:tcPr>
            <w:tcW w:w="3368" w:type="dxa"/>
            <w:shd w:val="clear" w:color="auto" w:fill="2E7D32"/>
          </w:tcPr>
          <w:p w:rsidR="00A87D37" w:rsidRDefault="009C6A91">
            <w:r>
              <w:rPr>
                <w:rFonts w:ascii="Times New Roman" w:hAnsi="Times New Roman"/>
                <w:b/>
                <w:color w:val="FFFFFF"/>
                <w:sz w:val="16"/>
              </w:rPr>
              <w:t>Analyzer</w:t>
            </w:r>
          </w:p>
        </w:tc>
        <w:tc>
          <w:tcPr>
            <w:tcW w:w="3368" w:type="dxa"/>
            <w:shd w:val="clear" w:color="auto" w:fill="2E7D32"/>
          </w:tcPr>
          <w:p w:rsidR="00A87D37" w:rsidRDefault="009C6A91">
            <w:r>
              <w:rPr>
                <w:rFonts w:ascii="Times New Roman" w:hAnsi="Times New Roman"/>
                <w:b/>
                <w:color w:val="FFFFFF"/>
                <w:sz w:val="16"/>
              </w:rPr>
              <w:t>Method</w:t>
            </w:r>
          </w:p>
        </w:tc>
        <w:tc>
          <w:tcPr>
            <w:tcW w:w="3368" w:type="dxa"/>
            <w:shd w:val="clear" w:color="auto" w:fill="2E7D32"/>
          </w:tcPr>
          <w:p w:rsidR="00A87D37" w:rsidRDefault="009C6A91">
            <w:r>
              <w:rPr>
                <w:rFonts w:ascii="Times New Roman" w:hAnsi="Times New Roman"/>
                <w:b/>
                <w:color w:val="FFFFFF"/>
                <w:sz w:val="16"/>
              </w:rPr>
              <w:t>Output</w:t>
            </w:r>
          </w:p>
        </w:tc>
      </w:tr>
      <w:tr w:rsidR="00A87D37">
        <w:trPr>
          <w:jc w:val="center"/>
        </w:trPr>
        <w:tc>
          <w:tcPr>
            <w:tcW w:w="3368" w:type="dxa"/>
          </w:tcPr>
          <w:p w:rsidR="00A87D37" w:rsidRDefault="009C6A91">
            <w:r>
              <w:rPr>
                <w:rFonts w:ascii="Times New Roman" w:hAnsi="Times New Roman"/>
                <w:sz w:val="16"/>
              </w:rPr>
              <w:t>Watermark</w:t>
            </w:r>
          </w:p>
        </w:tc>
        <w:tc>
          <w:tcPr>
            <w:tcW w:w="3368" w:type="dxa"/>
          </w:tcPr>
          <w:p w:rsidR="00A87D37" w:rsidRDefault="009C6A91">
            <w:r>
              <w:rPr>
                <w:rFonts w:ascii="Times New Roman" w:hAnsi="Times New Roman"/>
                <w:sz w:val="16"/>
              </w:rPr>
              <w:t>SSIM template matching</w:t>
            </w:r>
          </w:p>
        </w:tc>
        <w:tc>
          <w:tcPr>
            <w:tcW w:w="3368" w:type="dxa"/>
          </w:tcPr>
          <w:p w:rsidR="00A87D37" w:rsidRDefault="009C6A91">
            <w:r>
              <w:rPr>
                <w:rFonts w:ascii="Times New Roman" w:hAnsi="Times New Roman"/>
                <w:sz w:val="16"/>
              </w:rPr>
              <w:t>Presence + bounding box</w:t>
            </w:r>
          </w:p>
        </w:tc>
      </w:tr>
      <w:tr w:rsidR="00A87D37">
        <w:trPr>
          <w:jc w:val="center"/>
        </w:trPr>
        <w:tc>
          <w:tcPr>
            <w:tcW w:w="3368" w:type="dxa"/>
          </w:tcPr>
          <w:p w:rsidR="00A87D37" w:rsidRDefault="009C6A91">
            <w:r>
              <w:rPr>
                <w:rFonts w:ascii="Times New Roman" w:hAnsi="Times New Roman"/>
                <w:sz w:val="16"/>
              </w:rPr>
              <w:t>Security Thread</w:t>
            </w:r>
          </w:p>
        </w:tc>
        <w:tc>
          <w:tcPr>
            <w:tcW w:w="3368" w:type="dxa"/>
          </w:tcPr>
          <w:p w:rsidR="00A87D37" w:rsidRDefault="009C6A91">
            <w:r>
              <w:rPr>
                <w:rFonts w:ascii="Times New Roman" w:hAnsi="Times New Roman"/>
                <w:sz w:val="16"/>
              </w:rPr>
              <w:t>Edge detection + Hough</w:t>
            </w:r>
          </w:p>
        </w:tc>
        <w:tc>
          <w:tcPr>
            <w:tcW w:w="3368" w:type="dxa"/>
          </w:tcPr>
          <w:p w:rsidR="00A87D37" w:rsidRDefault="009C6A91">
            <w:r>
              <w:rPr>
                <w:rFonts w:ascii="Times New Roman" w:hAnsi="Times New Roman"/>
                <w:sz w:val="16"/>
              </w:rPr>
              <w:t>Position + coordinates</w:t>
            </w:r>
          </w:p>
        </w:tc>
      </w:tr>
      <w:tr w:rsidR="00A87D37">
        <w:trPr>
          <w:jc w:val="center"/>
        </w:trPr>
        <w:tc>
          <w:tcPr>
            <w:tcW w:w="3368" w:type="dxa"/>
          </w:tcPr>
          <w:p w:rsidR="00A87D37" w:rsidRDefault="009C6A91">
            <w:r>
              <w:rPr>
                <w:rFonts w:ascii="Times New Roman" w:hAnsi="Times New Roman"/>
                <w:sz w:val="16"/>
              </w:rPr>
              <w:t>Color Profile</w:t>
            </w:r>
          </w:p>
        </w:tc>
        <w:tc>
          <w:tcPr>
            <w:tcW w:w="3368" w:type="dxa"/>
          </w:tcPr>
          <w:p w:rsidR="00A87D37" w:rsidRDefault="009C6A91">
            <w:r>
              <w:rPr>
                <w:rFonts w:ascii="Times New Roman" w:hAnsi="Times New Roman"/>
                <w:sz w:val="16"/>
              </w:rPr>
              <w:t>Bhattacharyya distance</w:t>
            </w:r>
          </w:p>
        </w:tc>
        <w:tc>
          <w:tcPr>
            <w:tcW w:w="3368" w:type="dxa"/>
          </w:tcPr>
          <w:p w:rsidR="00A87D37" w:rsidRDefault="009C6A91">
            <w:r>
              <w:rPr>
                <w:rFonts w:ascii="Times New Roman" w:hAnsi="Times New Roman"/>
                <w:sz w:val="16"/>
              </w:rPr>
              <w:t>Histogram match score</w:t>
            </w:r>
          </w:p>
        </w:tc>
      </w:tr>
      <w:tr w:rsidR="00A87D37">
        <w:trPr>
          <w:jc w:val="center"/>
        </w:trPr>
        <w:tc>
          <w:tcPr>
            <w:tcW w:w="3368" w:type="dxa"/>
          </w:tcPr>
          <w:p w:rsidR="00A87D37" w:rsidRDefault="009C6A91">
            <w:r>
              <w:rPr>
                <w:rFonts w:ascii="Times New Roman" w:hAnsi="Times New Roman"/>
                <w:sz w:val="16"/>
              </w:rPr>
              <w:t>Texture (GLCM)</w:t>
            </w:r>
          </w:p>
        </w:tc>
        <w:tc>
          <w:tcPr>
            <w:tcW w:w="3368" w:type="dxa"/>
          </w:tcPr>
          <w:p w:rsidR="00A87D37" w:rsidRDefault="009C6A91">
            <w:r>
              <w:rPr>
                <w:rFonts w:ascii="Times New Roman" w:hAnsi="Times New Roman"/>
                <w:sz w:val="16"/>
              </w:rPr>
              <w:t>Contrast, energy, sharpness</w:t>
            </w:r>
          </w:p>
        </w:tc>
        <w:tc>
          <w:tcPr>
            <w:tcW w:w="3368" w:type="dxa"/>
          </w:tcPr>
          <w:p w:rsidR="00A87D37" w:rsidRDefault="009C6A91">
            <w:r>
              <w:rPr>
                <w:rFonts w:ascii="Times New Roman" w:hAnsi="Times New Roman"/>
                <w:sz w:val="16"/>
              </w:rPr>
              <w:t>Normality classification</w:t>
            </w:r>
          </w:p>
        </w:tc>
      </w:tr>
      <w:tr w:rsidR="00A87D37">
        <w:trPr>
          <w:jc w:val="center"/>
        </w:trPr>
        <w:tc>
          <w:tcPr>
            <w:tcW w:w="3368" w:type="dxa"/>
          </w:tcPr>
          <w:p w:rsidR="00A87D37" w:rsidRDefault="009C6A91">
            <w:r>
              <w:rPr>
                <w:rFonts w:ascii="Times New Roman" w:hAnsi="Times New Roman"/>
                <w:sz w:val="16"/>
              </w:rPr>
              <w:t>Serial Number</w:t>
            </w:r>
          </w:p>
        </w:tc>
        <w:tc>
          <w:tcPr>
            <w:tcW w:w="3368" w:type="dxa"/>
          </w:tcPr>
          <w:p w:rsidR="00A87D37" w:rsidRDefault="009C6A91">
            <w:r>
              <w:rPr>
                <w:rFonts w:ascii="Times New Roman" w:hAnsi="Times New Roman"/>
                <w:sz w:val="16"/>
              </w:rPr>
              <w:t>EasyOCR extraction</w:t>
            </w:r>
          </w:p>
        </w:tc>
        <w:tc>
          <w:tcPr>
            <w:tcW w:w="3368" w:type="dxa"/>
          </w:tcPr>
          <w:p w:rsidR="00A87D37" w:rsidRDefault="009C6A91">
            <w:r>
              <w:rPr>
                <w:rFonts w:ascii="Times New Roman" w:hAnsi="Times New Roman"/>
                <w:sz w:val="16"/>
              </w:rPr>
              <w:t>Text + format validation</w:t>
            </w:r>
          </w:p>
        </w:tc>
      </w:tr>
      <w:tr w:rsidR="00A87D37">
        <w:trPr>
          <w:jc w:val="center"/>
        </w:trPr>
        <w:tc>
          <w:tcPr>
            <w:tcW w:w="3368" w:type="dxa"/>
          </w:tcPr>
          <w:p w:rsidR="00A87D37" w:rsidRDefault="009C6A91">
            <w:r>
              <w:rPr>
                <w:rFonts w:ascii="Times New Roman" w:hAnsi="Times New Roman"/>
                <w:sz w:val="16"/>
              </w:rPr>
              <w:t>Dimensions</w:t>
            </w:r>
          </w:p>
        </w:tc>
        <w:tc>
          <w:tcPr>
            <w:tcW w:w="3368" w:type="dxa"/>
          </w:tcPr>
          <w:p w:rsidR="00A87D37" w:rsidRDefault="009C6A91">
            <w:r>
              <w:rPr>
                <w:rFonts w:ascii="Times New Roman" w:hAnsi="Times New Roman"/>
                <w:sz w:val="16"/>
              </w:rPr>
              <w:t>Aspect ratio deviation</w:t>
            </w:r>
          </w:p>
        </w:tc>
        <w:tc>
          <w:tcPr>
            <w:tcW w:w="3368" w:type="dxa"/>
          </w:tcPr>
          <w:p w:rsidR="00A87D37" w:rsidRDefault="009C6A91">
            <w:r>
              <w:rPr>
                <w:rFonts w:ascii="Times New Roman" w:hAnsi="Times New Roman"/>
                <w:sz w:val="16"/>
              </w:rPr>
              <w:t>Compliance percentage</w:t>
            </w:r>
          </w:p>
        </w:tc>
      </w:tr>
    </w:tbl>
    <w:p w:rsidR="00A87D37" w:rsidRDefault="009C6A91">
      <w:pPr>
        <w:spacing w:after="120"/>
        <w:jc w:val="center"/>
      </w:pPr>
      <w:r>
        <w:rPr>
          <w:rFonts w:ascii="Times New Roman" w:hAnsi="Times New Roman"/>
          <w:b/>
          <w:sz w:val="16"/>
        </w:rPr>
        <w:t>TABLE II. Computer Vision Feature Analyzers</w:t>
      </w:r>
    </w:p>
    <w:p w:rsidR="00A87D37" w:rsidRDefault="009C6A91">
      <w:pPr>
        <w:spacing w:before="120"/>
        <w:jc w:val="center"/>
      </w:pPr>
      <w:r>
        <w:rPr>
          <w:noProof/>
          <w:lang w:val="en-IN" w:eastAsia="en-IN"/>
        </w:rPr>
        <w:drawing>
          <wp:inline distT="0" distB="0" distL="0" distR="0">
            <wp:extent cx="2743200" cy="2329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png"/>
                    <pic:cNvPicPr/>
                  </pic:nvPicPr>
                  <pic:blipFill>
                    <a:blip r:embed="rId7"/>
                    <a:stretch>
                      <a:fillRect/>
                    </a:stretch>
                  </pic:blipFill>
                  <pic:spPr>
                    <a:xfrm>
                      <a:off x="0" y="0"/>
                      <a:ext cx="2743200" cy="2329172"/>
                    </a:xfrm>
                    <a:prstGeom prst="rect">
                      <a:avLst/>
                    </a:prstGeom>
                  </pic:spPr>
                </pic:pic>
              </a:graphicData>
            </a:graphic>
          </wp:inline>
        </w:drawing>
      </w:r>
    </w:p>
    <w:p w:rsidR="00A87D37" w:rsidRDefault="009C6A91">
      <w:pPr>
        <w:spacing w:after="120"/>
        <w:jc w:val="center"/>
      </w:pPr>
      <w:r>
        <w:rPr>
          <w:rFonts w:ascii="Times New Roman" w:hAnsi="Times New Roman"/>
          <w:i/>
          <w:sz w:val="16"/>
        </w:rPr>
        <w:t xml:space="preserve">Fig. 4. Radar Chart Comparing Per-Feature Confidence Profiles </w:t>
      </w:r>
      <w:r>
        <w:rPr>
          <w:rFonts w:ascii="Times New Roman" w:hAnsi="Times New Roman"/>
          <w:i/>
          <w:sz w:val="16"/>
        </w:rPr>
        <w:t>Between Genuine and Counterfeit Notes</w:t>
      </w:r>
    </w:p>
    <w:p w:rsidR="00A87D37" w:rsidRDefault="009C6A91">
      <w:pPr>
        <w:spacing w:before="120" w:after="40"/>
      </w:pPr>
      <w:r>
        <w:rPr>
          <w:rFonts w:ascii="Times New Roman" w:hAnsi="Times New Roman"/>
          <w:i/>
          <w:sz w:val="20"/>
        </w:rPr>
        <w:t>E. Ensemble Scoring</w:t>
      </w:r>
    </w:p>
    <w:p w:rsidR="00A87D37" w:rsidRDefault="009C6A91">
      <w:pPr>
        <w:spacing w:after="80"/>
        <w:ind w:firstLine="357"/>
        <w:jc w:val="both"/>
      </w:pPr>
      <w:r>
        <w:rPr>
          <w:rFonts w:ascii="Times New Roman" w:hAnsi="Times New Roman"/>
          <w:sz w:val="20"/>
        </w:rPr>
        <w:t>The final classification decision is produced by an ensemble mechanism that computes a weighted average of the LeJEPA classifier output and the six CV feature scores. The LeJEPA component receives 5</w:t>
      </w:r>
      <w:r>
        <w:rPr>
          <w:rFonts w:ascii="Times New Roman" w:hAnsi="Times New Roman"/>
          <w:sz w:val="20"/>
        </w:rPr>
        <w:t>0% of the total weight, while each CV analyzer contributes proportionally based on its individual reliability score. A threshold of 0.5 on the ensemble score determines the final REAL/FAKE verdict. This hybrid approach ensures that the system remains funct</w:t>
      </w:r>
      <w:r>
        <w:rPr>
          <w:rFonts w:ascii="Times New Roman" w:hAnsi="Times New Roman"/>
          <w:sz w:val="20"/>
        </w:rPr>
        <w:t>ional even when the deep learning model is unavailable, falling back to pure CV-based detection.</w:t>
      </w:r>
    </w:p>
    <w:p w:rsidR="00A87D37" w:rsidRDefault="009C6A91">
      <w:pPr>
        <w:spacing w:before="200" w:after="80"/>
        <w:jc w:val="center"/>
      </w:pPr>
      <w:r>
        <w:rPr>
          <w:rFonts w:ascii="Times New Roman" w:hAnsi="Times New Roman"/>
          <w:b/>
          <w:sz w:val="20"/>
        </w:rPr>
        <w:t>IV. SYSTEM ARCHITECTURE</w:t>
      </w:r>
    </w:p>
    <w:p w:rsidR="00A87D37" w:rsidRDefault="009C6A91">
      <w:pPr>
        <w:spacing w:after="80"/>
        <w:ind w:firstLine="357"/>
        <w:jc w:val="both"/>
      </w:pPr>
      <w:r>
        <w:rPr>
          <w:rFonts w:ascii="Times New Roman" w:hAnsi="Times New Roman"/>
          <w:sz w:val="20"/>
        </w:rPr>
        <w:t>The detection system is implemented as a full-stack web application comprising three tiers: a React.js frontend for image upload and re</w:t>
      </w:r>
      <w:r>
        <w:rPr>
          <w:rFonts w:ascii="Times New Roman" w:hAnsi="Times New Roman"/>
          <w:sz w:val="20"/>
        </w:rPr>
        <w:t xml:space="preserve">sult visualization, a FastAPI </w:t>
      </w:r>
      <w:r>
        <w:rPr>
          <w:rFonts w:ascii="Times New Roman" w:hAnsi="Times New Roman"/>
          <w:sz w:val="20"/>
        </w:rPr>
        <w:lastRenderedPageBreak/>
        <w:t>backend serving the ML inference engine and CV analyzers, and a MySQL database for persistent storage of analysis history. The complete processing pipeline is illustrated in Fig. 6.</w:t>
      </w:r>
    </w:p>
    <w:p w:rsidR="00A87D37" w:rsidRDefault="009C6A91">
      <w:pPr>
        <w:spacing w:before="120"/>
        <w:jc w:val="center"/>
      </w:pPr>
      <w:r>
        <w:rPr>
          <w:noProof/>
          <w:lang w:val="en-IN" w:eastAsia="en-IN"/>
        </w:rPr>
        <w:drawing>
          <wp:inline distT="0" distB="0" distL="0" distR="0">
            <wp:extent cx="3108960" cy="9447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3108960" cy="944703"/>
                    </a:xfrm>
                    <a:prstGeom prst="rect">
                      <a:avLst/>
                    </a:prstGeom>
                  </pic:spPr>
                </pic:pic>
              </a:graphicData>
            </a:graphic>
          </wp:inline>
        </w:drawing>
      </w:r>
    </w:p>
    <w:p w:rsidR="00A87D37" w:rsidRDefault="009C6A91">
      <w:pPr>
        <w:spacing w:after="120"/>
        <w:jc w:val="center"/>
        <w:rPr>
          <w:rFonts w:ascii="Times New Roman" w:hAnsi="Times New Roman"/>
          <w:i/>
          <w:sz w:val="16"/>
        </w:rPr>
      </w:pPr>
      <w:r>
        <w:rPr>
          <w:rFonts w:ascii="Times New Roman" w:hAnsi="Times New Roman"/>
          <w:i/>
          <w:sz w:val="16"/>
        </w:rPr>
        <w:t xml:space="preserve">Fig. 6. End-to-End Analysis Pipeline from </w:t>
      </w:r>
      <w:r>
        <w:rPr>
          <w:rFonts w:ascii="Times New Roman" w:hAnsi="Times New Roman"/>
          <w:i/>
          <w:sz w:val="16"/>
        </w:rPr>
        <w:t>Image Upload to Result Storage</w:t>
      </w:r>
    </w:p>
    <w:p w:rsidR="00E6182F" w:rsidRDefault="00E6182F">
      <w:pPr>
        <w:spacing w:after="120"/>
        <w:jc w:val="center"/>
      </w:pPr>
    </w:p>
    <w:tbl>
      <w:tblPr>
        <w:tblStyle w:val="TableGrid"/>
        <w:tblW w:w="0" w:type="auto"/>
        <w:jc w:val="center"/>
        <w:tblLook w:val="04A0" w:firstRow="1" w:lastRow="0" w:firstColumn="1" w:lastColumn="0" w:noHBand="0" w:noVBand="1"/>
      </w:tblPr>
      <w:tblGrid>
        <w:gridCol w:w="1645"/>
        <w:gridCol w:w="1753"/>
        <w:gridCol w:w="1689"/>
      </w:tblGrid>
      <w:tr w:rsidR="00A87D37">
        <w:trPr>
          <w:jc w:val="center"/>
        </w:trPr>
        <w:tc>
          <w:tcPr>
            <w:tcW w:w="3368" w:type="dxa"/>
            <w:shd w:val="clear" w:color="auto" w:fill="6A1B9A"/>
          </w:tcPr>
          <w:p w:rsidR="00A87D37" w:rsidRDefault="009C6A91">
            <w:r>
              <w:rPr>
                <w:rFonts w:ascii="Times New Roman" w:hAnsi="Times New Roman"/>
                <w:b/>
                <w:color w:val="FFFFFF"/>
                <w:sz w:val="16"/>
              </w:rPr>
              <w:t>Layer</w:t>
            </w:r>
          </w:p>
        </w:tc>
        <w:tc>
          <w:tcPr>
            <w:tcW w:w="3368" w:type="dxa"/>
            <w:shd w:val="clear" w:color="auto" w:fill="6A1B9A"/>
          </w:tcPr>
          <w:p w:rsidR="00A87D37" w:rsidRDefault="009C6A91">
            <w:r>
              <w:rPr>
                <w:rFonts w:ascii="Times New Roman" w:hAnsi="Times New Roman"/>
                <w:b/>
                <w:color w:val="FFFFFF"/>
                <w:sz w:val="16"/>
              </w:rPr>
              <w:t>Technology</w:t>
            </w:r>
          </w:p>
        </w:tc>
        <w:tc>
          <w:tcPr>
            <w:tcW w:w="3368" w:type="dxa"/>
            <w:shd w:val="clear" w:color="auto" w:fill="6A1B9A"/>
          </w:tcPr>
          <w:p w:rsidR="00A87D37" w:rsidRDefault="009C6A91">
            <w:r>
              <w:rPr>
                <w:rFonts w:ascii="Times New Roman" w:hAnsi="Times New Roman"/>
                <w:b/>
                <w:color w:val="FFFFFF"/>
                <w:sz w:val="16"/>
              </w:rPr>
              <w:t>Purpose</w:t>
            </w:r>
          </w:p>
        </w:tc>
      </w:tr>
      <w:tr w:rsidR="00A87D37">
        <w:trPr>
          <w:jc w:val="center"/>
        </w:trPr>
        <w:tc>
          <w:tcPr>
            <w:tcW w:w="3368" w:type="dxa"/>
          </w:tcPr>
          <w:p w:rsidR="00A87D37" w:rsidRDefault="009C6A91">
            <w:r>
              <w:rPr>
                <w:rFonts w:ascii="Times New Roman" w:hAnsi="Times New Roman"/>
                <w:sz w:val="16"/>
              </w:rPr>
              <w:t>Frontend</w:t>
            </w:r>
          </w:p>
        </w:tc>
        <w:tc>
          <w:tcPr>
            <w:tcW w:w="3368" w:type="dxa"/>
          </w:tcPr>
          <w:p w:rsidR="00A87D37" w:rsidRDefault="009C6A91">
            <w:r>
              <w:rPr>
                <w:rFonts w:ascii="Times New Roman" w:hAnsi="Times New Roman"/>
                <w:sz w:val="16"/>
              </w:rPr>
              <w:t>React.js + Vite</w:t>
            </w:r>
          </w:p>
        </w:tc>
        <w:tc>
          <w:tcPr>
            <w:tcW w:w="3368" w:type="dxa"/>
          </w:tcPr>
          <w:p w:rsidR="00A87D37" w:rsidRDefault="009C6A91">
            <w:r>
              <w:rPr>
                <w:rFonts w:ascii="Times New Roman" w:hAnsi="Times New Roman"/>
                <w:sz w:val="16"/>
              </w:rPr>
              <w:t>Image upload, result display</w:t>
            </w:r>
          </w:p>
        </w:tc>
      </w:tr>
      <w:tr w:rsidR="00A87D37">
        <w:trPr>
          <w:jc w:val="center"/>
        </w:trPr>
        <w:tc>
          <w:tcPr>
            <w:tcW w:w="3368" w:type="dxa"/>
          </w:tcPr>
          <w:p w:rsidR="00A87D37" w:rsidRDefault="009C6A91">
            <w:r>
              <w:rPr>
                <w:rFonts w:ascii="Times New Roman" w:hAnsi="Times New Roman"/>
                <w:sz w:val="16"/>
              </w:rPr>
              <w:t>API Server</w:t>
            </w:r>
          </w:p>
        </w:tc>
        <w:tc>
          <w:tcPr>
            <w:tcW w:w="3368" w:type="dxa"/>
          </w:tcPr>
          <w:p w:rsidR="00A87D37" w:rsidRDefault="009C6A91">
            <w:r>
              <w:rPr>
                <w:rFonts w:ascii="Times New Roman" w:hAnsi="Times New Roman"/>
                <w:sz w:val="16"/>
              </w:rPr>
              <w:t>FastAPI + Uvicorn</w:t>
            </w:r>
          </w:p>
        </w:tc>
        <w:tc>
          <w:tcPr>
            <w:tcW w:w="3368" w:type="dxa"/>
          </w:tcPr>
          <w:p w:rsidR="00A87D37" w:rsidRDefault="009C6A91">
            <w:r>
              <w:rPr>
                <w:rFonts w:ascii="Times New Roman" w:hAnsi="Times New Roman"/>
                <w:sz w:val="16"/>
              </w:rPr>
              <w:t>RESTful endpoints</w:t>
            </w:r>
          </w:p>
        </w:tc>
      </w:tr>
      <w:tr w:rsidR="00A87D37">
        <w:trPr>
          <w:jc w:val="center"/>
        </w:trPr>
        <w:tc>
          <w:tcPr>
            <w:tcW w:w="3368" w:type="dxa"/>
          </w:tcPr>
          <w:p w:rsidR="00A87D37" w:rsidRDefault="009C6A91">
            <w:r>
              <w:rPr>
                <w:rFonts w:ascii="Times New Roman" w:hAnsi="Times New Roman"/>
                <w:sz w:val="16"/>
              </w:rPr>
              <w:t>ML Framework</w:t>
            </w:r>
          </w:p>
        </w:tc>
        <w:tc>
          <w:tcPr>
            <w:tcW w:w="3368" w:type="dxa"/>
          </w:tcPr>
          <w:p w:rsidR="00A87D37" w:rsidRDefault="009C6A91">
            <w:r>
              <w:rPr>
                <w:rFonts w:ascii="Times New Roman" w:hAnsi="Times New Roman"/>
                <w:sz w:val="16"/>
              </w:rPr>
              <w:t>PyTorch 2.x</w:t>
            </w:r>
          </w:p>
        </w:tc>
        <w:tc>
          <w:tcPr>
            <w:tcW w:w="3368" w:type="dxa"/>
          </w:tcPr>
          <w:p w:rsidR="00A87D37" w:rsidRDefault="009C6A91">
            <w:r>
              <w:rPr>
                <w:rFonts w:ascii="Times New Roman" w:hAnsi="Times New Roman"/>
                <w:sz w:val="16"/>
              </w:rPr>
              <w:t>ViT encoder, training loop</w:t>
            </w:r>
          </w:p>
        </w:tc>
      </w:tr>
      <w:tr w:rsidR="00A87D37">
        <w:trPr>
          <w:jc w:val="center"/>
        </w:trPr>
        <w:tc>
          <w:tcPr>
            <w:tcW w:w="3368" w:type="dxa"/>
          </w:tcPr>
          <w:p w:rsidR="00A87D37" w:rsidRDefault="009C6A91">
            <w:r>
              <w:rPr>
                <w:rFonts w:ascii="Times New Roman" w:hAnsi="Times New Roman"/>
                <w:sz w:val="16"/>
              </w:rPr>
              <w:t>CV Library</w:t>
            </w:r>
          </w:p>
        </w:tc>
        <w:tc>
          <w:tcPr>
            <w:tcW w:w="3368" w:type="dxa"/>
          </w:tcPr>
          <w:p w:rsidR="00A87D37" w:rsidRDefault="009C6A91">
            <w:r>
              <w:rPr>
                <w:rFonts w:ascii="Times New Roman" w:hAnsi="Times New Roman"/>
                <w:sz w:val="16"/>
              </w:rPr>
              <w:t>OpenCV 4.x</w:t>
            </w:r>
          </w:p>
        </w:tc>
        <w:tc>
          <w:tcPr>
            <w:tcW w:w="3368" w:type="dxa"/>
          </w:tcPr>
          <w:p w:rsidR="00A87D37" w:rsidRDefault="009C6A91">
            <w:r>
              <w:rPr>
                <w:rFonts w:ascii="Times New Roman" w:hAnsi="Times New Roman"/>
                <w:sz w:val="16"/>
              </w:rPr>
              <w:t>Feature extraction</w:t>
            </w:r>
          </w:p>
        </w:tc>
      </w:tr>
      <w:tr w:rsidR="00A87D37">
        <w:trPr>
          <w:jc w:val="center"/>
        </w:trPr>
        <w:tc>
          <w:tcPr>
            <w:tcW w:w="3368" w:type="dxa"/>
          </w:tcPr>
          <w:p w:rsidR="00A87D37" w:rsidRDefault="009C6A91">
            <w:r>
              <w:rPr>
                <w:rFonts w:ascii="Times New Roman" w:hAnsi="Times New Roman"/>
                <w:sz w:val="16"/>
              </w:rPr>
              <w:t>OCR Engine</w:t>
            </w:r>
          </w:p>
        </w:tc>
        <w:tc>
          <w:tcPr>
            <w:tcW w:w="3368" w:type="dxa"/>
          </w:tcPr>
          <w:p w:rsidR="00A87D37" w:rsidRDefault="009C6A91">
            <w:r>
              <w:rPr>
                <w:rFonts w:ascii="Times New Roman" w:hAnsi="Times New Roman"/>
                <w:sz w:val="16"/>
              </w:rPr>
              <w:t>EasyOCR</w:t>
            </w:r>
          </w:p>
        </w:tc>
        <w:tc>
          <w:tcPr>
            <w:tcW w:w="3368" w:type="dxa"/>
          </w:tcPr>
          <w:p w:rsidR="00A87D37" w:rsidRDefault="009C6A91">
            <w:r>
              <w:rPr>
                <w:rFonts w:ascii="Times New Roman" w:hAnsi="Times New Roman"/>
                <w:sz w:val="16"/>
              </w:rPr>
              <w:t>Serial number extraction</w:t>
            </w:r>
          </w:p>
        </w:tc>
      </w:tr>
      <w:tr w:rsidR="00A87D37">
        <w:trPr>
          <w:jc w:val="center"/>
        </w:trPr>
        <w:tc>
          <w:tcPr>
            <w:tcW w:w="3368" w:type="dxa"/>
          </w:tcPr>
          <w:p w:rsidR="00A87D37" w:rsidRDefault="009C6A91">
            <w:r>
              <w:rPr>
                <w:rFonts w:ascii="Times New Roman" w:hAnsi="Times New Roman"/>
                <w:sz w:val="16"/>
              </w:rPr>
              <w:t>Database</w:t>
            </w:r>
          </w:p>
        </w:tc>
        <w:tc>
          <w:tcPr>
            <w:tcW w:w="3368" w:type="dxa"/>
          </w:tcPr>
          <w:p w:rsidR="00A87D37" w:rsidRDefault="009C6A91">
            <w:r>
              <w:rPr>
                <w:rFonts w:ascii="Times New Roman" w:hAnsi="Times New Roman"/>
                <w:sz w:val="16"/>
              </w:rPr>
              <w:t>MySQL + SQLAlchemy</w:t>
            </w:r>
          </w:p>
        </w:tc>
        <w:tc>
          <w:tcPr>
            <w:tcW w:w="3368" w:type="dxa"/>
          </w:tcPr>
          <w:p w:rsidR="00A87D37" w:rsidRDefault="009C6A91">
            <w:r>
              <w:rPr>
                <w:rFonts w:ascii="Times New Roman" w:hAnsi="Times New Roman"/>
                <w:sz w:val="16"/>
              </w:rPr>
              <w:t>Async result persistence</w:t>
            </w:r>
          </w:p>
        </w:tc>
      </w:tr>
      <w:tr w:rsidR="00A87D37">
        <w:trPr>
          <w:jc w:val="center"/>
        </w:trPr>
        <w:tc>
          <w:tcPr>
            <w:tcW w:w="3368" w:type="dxa"/>
          </w:tcPr>
          <w:p w:rsidR="00A87D37" w:rsidRDefault="009C6A91">
            <w:r>
              <w:rPr>
                <w:rFonts w:ascii="Times New Roman" w:hAnsi="Times New Roman"/>
                <w:sz w:val="16"/>
              </w:rPr>
              <w:t>Package Mgr</w:t>
            </w:r>
          </w:p>
        </w:tc>
        <w:tc>
          <w:tcPr>
            <w:tcW w:w="3368" w:type="dxa"/>
          </w:tcPr>
          <w:p w:rsidR="00A87D37" w:rsidRDefault="009C6A91">
            <w:r>
              <w:rPr>
                <w:rFonts w:ascii="Times New Roman" w:hAnsi="Times New Roman"/>
                <w:sz w:val="16"/>
              </w:rPr>
              <w:t>uv</w:t>
            </w:r>
          </w:p>
        </w:tc>
        <w:tc>
          <w:tcPr>
            <w:tcW w:w="3368" w:type="dxa"/>
          </w:tcPr>
          <w:p w:rsidR="00A87D37" w:rsidRDefault="009C6A91">
            <w:r>
              <w:rPr>
                <w:rFonts w:ascii="Times New Roman" w:hAnsi="Times New Roman"/>
                <w:sz w:val="16"/>
              </w:rPr>
              <w:t>Dependency resolution</w:t>
            </w:r>
          </w:p>
        </w:tc>
      </w:tr>
    </w:tbl>
    <w:p w:rsidR="00A87D37" w:rsidRDefault="009C6A91">
      <w:pPr>
        <w:spacing w:after="120"/>
        <w:jc w:val="center"/>
      </w:pPr>
      <w:r>
        <w:rPr>
          <w:rFonts w:ascii="Times New Roman" w:hAnsi="Times New Roman"/>
          <w:b/>
          <w:sz w:val="16"/>
        </w:rPr>
        <w:t>TABLE III. Technology Stack</w:t>
      </w:r>
    </w:p>
    <w:p w:rsidR="00A87D37" w:rsidRDefault="009C6A91">
      <w:pPr>
        <w:spacing w:before="200" w:after="80"/>
        <w:jc w:val="center"/>
      </w:pPr>
      <w:r>
        <w:rPr>
          <w:rFonts w:ascii="Times New Roman" w:hAnsi="Times New Roman"/>
          <w:b/>
          <w:sz w:val="20"/>
        </w:rPr>
        <w:t>V. EXPERIMENTAL SETUP</w:t>
      </w:r>
    </w:p>
    <w:p w:rsidR="00A87D37" w:rsidRDefault="009C6A91">
      <w:pPr>
        <w:spacing w:before="120" w:after="40"/>
      </w:pPr>
      <w:r>
        <w:rPr>
          <w:rFonts w:ascii="Times New Roman" w:hAnsi="Times New Roman"/>
          <w:i/>
          <w:sz w:val="20"/>
        </w:rPr>
        <w:t>A. Dataset</w:t>
      </w:r>
    </w:p>
    <w:p w:rsidR="00A87D37" w:rsidRDefault="009C6A91">
      <w:pPr>
        <w:spacing w:after="80"/>
        <w:ind w:firstLine="357"/>
        <w:jc w:val="both"/>
      </w:pPr>
      <w:r>
        <w:rPr>
          <w:rFonts w:ascii="Times New Roman" w:hAnsi="Times New Roman"/>
          <w:sz w:val="20"/>
        </w:rPr>
        <w:t xml:space="preserve">We curate a dataset of 7,445 Indian currency images </w:t>
      </w:r>
      <w:r>
        <w:rPr>
          <w:rFonts w:ascii="Times New Roman" w:hAnsi="Times New Roman"/>
          <w:sz w:val="20"/>
        </w:rPr>
        <w:t>spanning seven denominations (₹10, ₹20, ₹50, ₹100, ₹200, ₹500, and ₹2000) collected from publicly available sources. The dataset is organized in a binary classification structure with each denomination folder containing 'Real' and 'Fake' subdirectories. Im</w:t>
      </w:r>
      <w:r>
        <w:rPr>
          <w:rFonts w:ascii="Times New Roman" w:hAnsi="Times New Roman"/>
          <w:sz w:val="20"/>
        </w:rPr>
        <w:t>ages are captured under varying lighting conditions, orientations, and resolution levels to simulate real-world deployment scenarios. The distribution is visualized in Fig. 7.</w:t>
      </w:r>
    </w:p>
    <w:p w:rsidR="00A87D37" w:rsidRDefault="009C6A91">
      <w:pPr>
        <w:spacing w:before="120"/>
        <w:jc w:val="center"/>
      </w:pPr>
      <w:r>
        <w:rPr>
          <w:noProof/>
          <w:lang w:val="en-IN" w:eastAsia="en-IN"/>
        </w:rPr>
        <w:drawing>
          <wp:inline distT="0" distB="0" distL="0" distR="0">
            <wp:extent cx="2926080" cy="18620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png"/>
                    <pic:cNvPicPr/>
                  </pic:nvPicPr>
                  <pic:blipFill>
                    <a:blip r:embed="rId9"/>
                    <a:stretch>
                      <a:fillRect/>
                    </a:stretch>
                  </pic:blipFill>
                  <pic:spPr>
                    <a:xfrm>
                      <a:off x="0" y="0"/>
                      <a:ext cx="2926080" cy="1862051"/>
                    </a:xfrm>
                    <a:prstGeom prst="rect">
                      <a:avLst/>
                    </a:prstGeom>
                  </pic:spPr>
                </pic:pic>
              </a:graphicData>
            </a:graphic>
          </wp:inline>
        </w:drawing>
      </w:r>
    </w:p>
    <w:p w:rsidR="00A87D37" w:rsidRDefault="009C6A91">
      <w:pPr>
        <w:spacing w:after="120"/>
        <w:jc w:val="center"/>
      </w:pPr>
      <w:r>
        <w:rPr>
          <w:rFonts w:ascii="Times New Roman" w:hAnsi="Times New Roman"/>
          <w:i/>
          <w:sz w:val="16"/>
        </w:rPr>
        <w:t>Fig. 7. Dataset Distribution Across Denominations Showing Genuine vs. Counterf</w:t>
      </w:r>
      <w:r>
        <w:rPr>
          <w:rFonts w:ascii="Times New Roman" w:hAnsi="Times New Roman"/>
          <w:i/>
          <w:sz w:val="16"/>
        </w:rPr>
        <w:t>eit Samples</w:t>
      </w:r>
    </w:p>
    <w:p w:rsidR="00A87D37" w:rsidRDefault="009C6A91">
      <w:pPr>
        <w:spacing w:before="120" w:after="40"/>
      </w:pPr>
      <w:r>
        <w:rPr>
          <w:rFonts w:ascii="Times New Roman" w:hAnsi="Times New Roman"/>
          <w:i/>
          <w:sz w:val="20"/>
        </w:rPr>
        <w:t>B. Training Configuration</w:t>
      </w:r>
    </w:p>
    <w:p w:rsidR="002B5A53" w:rsidRDefault="009C6A91">
      <w:pPr>
        <w:spacing w:after="80"/>
        <w:ind w:firstLine="357"/>
        <w:jc w:val="both"/>
      </w:pPr>
      <w:r>
        <w:rPr>
          <w:rFonts w:ascii="Times New Roman" w:hAnsi="Times New Roman"/>
          <w:sz w:val="20"/>
        </w:rPr>
        <w:t xml:space="preserve">All experiments are conducted on commodity CPU hardware (Intel Core i7, 16 GB RAM) to validate the </w:t>
      </w:r>
      <w:r>
        <w:rPr>
          <w:rFonts w:ascii="Times New Roman" w:hAnsi="Times New Roman"/>
          <w:sz w:val="20"/>
        </w:rPr>
        <w:lastRenderedPageBreak/>
        <w:t xml:space="preserve">feasibility of deployment in resource-constrained environments without GPU acceleration. The training configuration is </w:t>
      </w:r>
      <w:r>
        <w:rPr>
          <w:rFonts w:ascii="Times New Roman" w:hAnsi="Times New Roman"/>
          <w:sz w:val="20"/>
        </w:rPr>
        <w:t>detailed in Table IV.</w:t>
      </w:r>
    </w:p>
    <w:tbl>
      <w:tblPr>
        <w:tblStyle w:val="TableGrid"/>
        <w:tblW w:w="0" w:type="auto"/>
        <w:jc w:val="center"/>
        <w:tblLook w:val="04A0" w:firstRow="1" w:lastRow="0" w:firstColumn="1" w:lastColumn="0" w:noHBand="0" w:noVBand="1"/>
      </w:tblPr>
      <w:tblGrid>
        <w:gridCol w:w="2736"/>
        <w:gridCol w:w="2351"/>
      </w:tblGrid>
      <w:tr w:rsidR="00A87D37">
        <w:trPr>
          <w:jc w:val="center"/>
        </w:trPr>
        <w:tc>
          <w:tcPr>
            <w:tcW w:w="5051" w:type="dxa"/>
            <w:shd w:val="clear" w:color="auto" w:fill="E65100"/>
          </w:tcPr>
          <w:p w:rsidR="00A87D37" w:rsidRDefault="009C6A91">
            <w:r>
              <w:rPr>
                <w:rFonts w:ascii="Times New Roman" w:hAnsi="Times New Roman"/>
                <w:b/>
                <w:color w:val="FFFFFF"/>
                <w:sz w:val="16"/>
              </w:rPr>
              <w:t>Hyperparameter</w:t>
            </w:r>
          </w:p>
        </w:tc>
        <w:tc>
          <w:tcPr>
            <w:tcW w:w="5051" w:type="dxa"/>
            <w:shd w:val="clear" w:color="auto" w:fill="E65100"/>
          </w:tcPr>
          <w:p w:rsidR="00A87D37" w:rsidRDefault="009C6A91">
            <w:r>
              <w:rPr>
                <w:rFonts w:ascii="Times New Roman" w:hAnsi="Times New Roman"/>
                <w:b/>
                <w:color w:val="FFFFFF"/>
                <w:sz w:val="16"/>
              </w:rPr>
              <w:t>Value</w:t>
            </w:r>
          </w:p>
        </w:tc>
      </w:tr>
      <w:tr w:rsidR="00A87D37">
        <w:trPr>
          <w:jc w:val="center"/>
        </w:trPr>
        <w:tc>
          <w:tcPr>
            <w:tcW w:w="5051" w:type="dxa"/>
          </w:tcPr>
          <w:p w:rsidR="00A87D37" w:rsidRDefault="009C6A91">
            <w:r>
              <w:rPr>
                <w:rFonts w:ascii="Times New Roman" w:hAnsi="Times New Roman"/>
                <w:sz w:val="16"/>
              </w:rPr>
              <w:t>Pretraining Epochs</w:t>
            </w:r>
          </w:p>
        </w:tc>
        <w:tc>
          <w:tcPr>
            <w:tcW w:w="5051" w:type="dxa"/>
          </w:tcPr>
          <w:p w:rsidR="00A87D37" w:rsidRDefault="009C6A91">
            <w:r>
              <w:rPr>
                <w:rFonts w:ascii="Times New Roman" w:hAnsi="Times New Roman"/>
                <w:sz w:val="16"/>
              </w:rPr>
              <w:t>30</w:t>
            </w:r>
          </w:p>
        </w:tc>
      </w:tr>
      <w:tr w:rsidR="00A87D37">
        <w:trPr>
          <w:jc w:val="center"/>
        </w:trPr>
        <w:tc>
          <w:tcPr>
            <w:tcW w:w="5051" w:type="dxa"/>
          </w:tcPr>
          <w:p w:rsidR="00A87D37" w:rsidRDefault="009C6A91">
            <w:r>
              <w:rPr>
                <w:rFonts w:ascii="Times New Roman" w:hAnsi="Times New Roman"/>
                <w:sz w:val="16"/>
              </w:rPr>
              <w:t>Fine-tuning Epochs</w:t>
            </w:r>
          </w:p>
        </w:tc>
        <w:tc>
          <w:tcPr>
            <w:tcW w:w="5051" w:type="dxa"/>
          </w:tcPr>
          <w:p w:rsidR="00A87D37" w:rsidRDefault="009C6A91">
            <w:r>
              <w:rPr>
                <w:rFonts w:ascii="Times New Roman" w:hAnsi="Times New Roman"/>
                <w:sz w:val="16"/>
              </w:rPr>
              <w:t>20</w:t>
            </w:r>
          </w:p>
        </w:tc>
      </w:tr>
      <w:tr w:rsidR="00A87D37">
        <w:trPr>
          <w:jc w:val="center"/>
        </w:trPr>
        <w:tc>
          <w:tcPr>
            <w:tcW w:w="5051" w:type="dxa"/>
          </w:tcPr>
          <w:p w:rsidR="00A87D37" w:rsidRDefault="009C6A91">
            <w:r>
              <w:rPr>
                <w:rFonts w:ascii="Times New Roman" w:hAnsi="Times New Roman"/>
                <w:sz w:val="16"/>
              </w:rPr>
              <w:t>Batch Size</w:t>
            </w:r>
          </w:p>
        </w:tc>
        <w:tc>
          <w:tcPr>
            <w:tcW w:w="5051" w:type="dxa"/>
          </w:tcPr>
          <w:p w:rsidR="00A87D37" w:rsidRDefault="009C6A91">
            <w:r>
              <w:rPr>
                <w:rFonts w:ascii="Times New Roman" w:hAnsi="Times New Roman"/>
                <w:sz w:val="16"/>
              </w:rPr>
              <w:t>32</w:t>
            </w:r>
          </w:p>
        </w:tc>
      </w:tr>
      <w:tr w:rsidR="00A87D37">
        <w:trPr>
          <w:jc w:val="center"/>
        </w:trPr>
        <w:tc>
          <w:tcPr>
            <w:tcW w:w="5051" w:type="dxa"/>
          </w:tcPr>
          <w:p w:rsidR="00A87D37" w:rsidRDefault="009C6A91">
            <w:r>
              <w:rPr>
                <w:rFonts w:ascii="Times New Roman" w:hAnsi="Times New Roman"/>
                <w:sz w:val="16"/>
              </w:rPr>
              <w:t>Pretraining LR</w:t>
            </w:r>
          </w:p>
        </w:tc>
        <w:tc>
          <w:tcPr>
            <w:tcW w:w="5051" w:type="dxa"/>
          </w:tcPr>
          <w:p w:rsidR="00A87D37" w:rsidRDefault="009C6A91">
            <w:r>
              <w:rPr>
                <w:rFonts w:ascii="Times New Roman" w:hAnsi="Times New Roman"/>
                <w:sz w:val="16"/>
              </w:rPr>
              <w:t>1.5 × 10⁻⁴</w:t>
            </w:r>
          </w:p>
        </w:tc>
      </w:tr>
      <w:tr w:rsidR="00A87D37">
        <w:trPr>
          <w:jc w:val="center"/>
        </w:trPr>
        <w:tc>
          <w:tcPr>
            <w:tcW w:w="5051" w:type="dxa"/>
          </w:tcPr>
          <w:p w:rsidR="00A87D37" w:rsidRDefault="009C6A91">
            <w:r>
              <w:rPr>
                <w:rFonts w:ascii="Times New Roman" w:hAnsi="Times New Roman"/>
                <w:sz w:val="16"/>
              </w:rPr>
              <w:t>Fine-tuning LR</w:t>
            </w:r>
          </w:p>
        </w:tc>
        <w:tc>
          <w:tcPr>
            <w:tcW w:w="5051" w:type="dxa"/>
          </w:tcPr>
          <w:p w:rsidR="00A87D37" w:rsidRDefault="009C6A91">
            <w:r>
              <w:rPr>
                <w:rFonts w:ascii="Times New Roman" w:hAnsi="Times New Roman"/>
                <w:sz w:val="16"/>
              </w:rPr>
              <w:t>1.0 × 10⁻⁴</w:t>
            </w:r>
          </w:p>
        </w:tc>
      </w:tr>
      <w:tr w:rsidR="00A87D37">
        <w:trPr>
          <w:jc w:val="center"/>
        </w:trPr>
        <w:tc>
          <w:tcPr>
            <w:tcW w:w="5051" w:type="dxa"/>
          </w:tcPr>
          <w:p w:rsidR="00A87D37" w:rsidRDefault="009C6A91">
            <w:r>
              <w:rPr>
                <w:rFonts w:ascii="Times New Roman" w:hAnsi="Times New Roman"/>
                <w:sz w:val="16"/>
              </w:rPr>
              <w:t>Optimizer</w:t>
            </w:r>
          </w:p>
        </w:tc>
        <w:tc>
          <w:tcPr>
            <w:tcW w:w="5051" w:type="dxa"/>
          </w:tcPr>
          <w:p w:rsidR="00A87D37" w:rsidRDefault="009C6A91">
            <w:r>
              <w:rPr>
                <w:rFonts w:ascii="Times New Roman" w:hAnsi="Times New Roman"/>
                <w:sz w:val="16"/>
              </w:rPr>
              <w:t>AdamW</w:t>
            </w:r>
          </w:p>
        </w:tc>
      </w:tr>
      <w:tr w:rsidR="00A87D37">
        <w:trPr>
          <w:jc w:val="center"/>
        </w:trPr>
        <w:tc>
          <w:tcPr>
            <w:tcW w:w="5051" w:type="dxa"/>
          </w:tcPr>
          <w:p w:rsidR="00A87D37" w:rsidRDefault="009C6A91">
            <w:r>
              <w:rPr>
                <w:rFonts w:ascii="Times New Roman" w:hAnsi="Times New Roman"/>
                <w:sz w:val="16"/>
              </w:rPr>
              <w:t>SIGReg Projections</w:t>
            </w:r>
          </w:p>
        </w:tc>
        <w:tc>
          <w:tcPr>
            <w:tcW w:w="5051" w:type="dxa"/>
          </w:tcPr>
          <w:p w:rsidR="00A87D37" w:rsidRDefault="009C6A91">
            <w:r>
              <w:rPr>
                <w:rFonts w:ascii="Times New Roman" w:hAnsi="Times New Roman"/>
                <w:sz w:val="16"/>
              </w:rPr>
              <w:t>128</w:t>
            </w:r>
          </w:p>
        </w:tc>
      </w:tr>
      <w:tr w:rsidR="00A87D37">
        <w:trPr>
          <w:jc w:val="center"/>
        </w:trPr>
        <w:tc>
          <w:tcPr>
            <w:tcW w:w="5051" w:type="dxa"/>
          </w:tcPr>
          <w:p w:rsidR="00A87D37" w:rsidRDefault="009C6A91">
            <w:r>
              <w:rPr>
                <w:rFonts w:ascii="Times New Roman" w:hAnsi="Times New Roman"/>
                <w:sz w:val="16"/>
              </w:rPr>
              <w:t>Predictor Depth</w:t>
            </w:r>
          </w:p>
        </w:tc>
        <w:tc>
          <w:tcPr>
            <w:tcW w:w="5051" w:type="dxa"/>
          </w:tcPr>
          <w:p w:rsidR="00A87D37" w:rsidRDefault="009C6A91">
            <w:r>
              <w:rPr>
                <w:rFonts w:ascii="Times New Roman" w:hAnsi="Times New Roman"/>
                <w:sz w:val="16"/>
              </w:rPr>
              <w:t>6 blocks</w:t>
            </w:r>
          </w:p>
        </w:tc>
      </w:tr>
      <w:tr w:rsidR="00A87D37">
        <w:trPr>
          <w:jc w:val="center"/>
        </w:trPr>
        <w:tc>
          <w:tcPr>
            <w:tcW w:w="5051" w:type="dxa"/>
          </w:tcPr>
          <w:p w:rsidR="00A87D37" w:rsidRDefault="009C6A91">
            <w:r>
              <w:rPr>
                <w:rFonts w:ascii="Times New Roman" w:hAnsi="Times New Roman"/>
                <w:sz w:val="16"/>
              </w:rPr>
              <w:t>Hardware</w:t>
            </w:r>
          </w:p>
        </w:tc>
        <w:tc>
          <w:tcPr>
            <w:tcW w:w="5051" w:type="dxa"/>
          </w:tcPr>
          <w:p w:rsidR="00A87D37" w:rsidRDefault="009C6A91">
            <w:r>
              <w:rPr>
                <w:rFonts w:ascii="Times New Roman" w:hAnsi="Times New Roman"/>
                <w:sz w:val="16"/>
              </w:rPr>
              <w:t>CPU only (Intel i7)</w:t>
            </w:r>
          </w:p>
        </w:tc>
      </w:tr>
    </w:tbl>
    <w:p w:rsidR="00A87D37" w:rsidRDefault="009C6A91">
      <w:pPr>
        <w:spacing w:after="120"/>
        <w:jc w:val="center"/>
      </w:pPr>
      <w:r>
        <w:rPr>
          <w:rFonts w:ascii="Times New Roman" w:hAnsi="Times New Roman"/>
          <w:b/>
          <w:sz w:val="16"/>
        </w:rPr>
        <w:t>TABLE IV. Training Hyperparameters</w:t>
      </w:r>
    </w:p>
    <w:p w:rsidR="00A87D37" w:rsidRDefault="009C6A91">
      <w:pPr>
        <w:spacing w:before="200" w:after="80"/>
        <w:jc w:val="center"/>
      </w:pPr>
      <w:r>
        <w:rPr>
          <w:rFonts w:ascii="Times New Roman" w:hAnsi="Times New Roman"/>
          <w:b/>
          <w:sz w:val="20"/>
        </w:rPr>
        <w:t>VI. RESULTS AND DISCUSSION</w:t>
      </w:r>
    </w:p>
    <w:p w:rsidR="00A87D37" w:rsidRDefault="009C6A91">
      <w:pPr>
        <w:spacing w:before="120" w:after="40"/>
      </w:pPr>
      <w:r>
        <w:rPr>
          <w:rFonts w:ascii="Times New Roman" w:hAnsi="Times New Roman"/>
          <w:i/>
          <w:sz w:val="20"/>
        </w:rPr>
        <w:t>A. Quantitative Evaluation</w:t>
      </w:r>
    </w:p>
    <w:p w:rsidR="00A87D37" w:rsidRDefault="009C6A91">
      <w:pPr>
        <w:spacing w:after="80"/>
        <w:ind w:firstLine="357"/>
        <w:jc w:val="both"/>
      </w:pPr>
      <w:r>
        <w:rPr>
          <w:rFonts w:ascii="Times New Roman" w:hAnsi="Times New Roman"/>
          <w:sz w:val="20"/>
        </w:rPr>
        <w:t>The trained LeJEPA classifier is evaluated against a held-out validation set of 1,116 images (approximately 15% of the total dataset). Due to computational constraints</w:t>
      </w:r>
      <w:r>
        <w:rPr>
          <w:rFonts w:ascii="Times New Roman" w:hAnsi="Times New Roman"/>
          <w:sz w:val="20"/>
        </w:rPr>
        <w:t xml:space="preserve"> imposed by CPU-only training, we report baseline results from a single pretraining epoch to establish proof-of-concept, alongside projected 50-epoch estimates based on observed convergence trends. Results are presented in Table V.</w:t>
      </w:r>
    </w:p>
    <w:tbl>
      <w:tblPr>
        <w:tblStyle w:val="TableGrid"/>
        <w:tblW w:w="0" w:type="auto"/>
        <w:jc w:val="center"/>
        <w:tblLook w:val="04A0" w:firstRow="1" w:lastRow="0" w:firstColumn="1" w:lastColumn="0" w:noHBand="0" w:noVBand="1"/>
      </w:tblPr>
      <w:tblGrid>
        <w:gridCol w:w="1689"/>
        <w:gridCol w:w="1610"/>
        <w:gridCol w:w="1788"/>
      </w:tblGrid>
      <w:tr w:rsidR="00A87D37">
        <w:trPr>
          <w:jc w:val="center"/>
        </w:trPr>
        <w:tc>
          <w:tcPr>
            <w:tcW w:w="3368" w:type="dxa"/>
            <w:shd w:val="clear" w:color="auto" w:fill="1565C0"/>
          </w:tcPr>
          <w:p w:rsidR="00A87D37" w:rsidRDefault="009C6A91">
            <w:r>
              <w:rPr>
                <w:rFonts w:ascii="Times New Roman" w:hAnsi="Times New Roman"/>
                <w:b/>
                <w:color w:val="FFFFFF"/>
                <w:sz w:val="16"/>
              </w:rPr>
              <w:t>Metric</w:t>
            </w:r>
          </w:p>
        </w:tc>
        <w:tc>
          <w:tcPr>
            <w:tcW w:w="3368" w:type="dxa"/>
            <w:shd w:val="clear" w:color="auto" w:fill="1565C0"/>
          </w:tcPr>
          <w:p w:rsidR="00A87D37" w:rsidRDefault="009C6A91">
            <w:r>
              <w:rPr>
                <w:rFonts w:ascii="Times New Roman" w:hAnsi="Times New Roman"/>
                <w:b/>
                <w:color w:val="FFFFFF"/>
                <w:sz w:val="16"/>
              </w:rPr>
              <w:t>1-Epoch</w:t>
            </w:r>
          </w:p>
        </w:tc>
        <w:tc>
          <w:tcPr>
            <w:tcW w:w="3368" w:type="dxa"/>
            <w:shd w:val="clear" w:color="auto" w:fill="1565C0"/>
          </w:tcPr>
          <w:p w:rsidR="00A87D37" w:rsidRDefault="009C6A91">
            <w:r>
              <w:rPr>
                <w:rFonts w:ascii="Times New Roman" w:hAnsi="Times New Roman"/>
                <w:b/>
                <w:color w:val="FFFFFF"/>
                <w:sz w:val="16"/>
              </w:rPr>
              <w:t xml:space="preserve">50-Epoch </w:t>
            </w:r>
            <w:r>
              <w:rPr>
                <w:rFonts w:ascii="Times New Roman" w:hAnsi="Times New Roman"/>
                <w:b/>
                <w:color w:val="FFFFFF"/>
                <w:sz w:val="16"/>
              </w:rPr>
              <w:t>(Projected)</w:t>
            </w:r>
          </w:p>
        </w:tc>
      </w:tr>
      <w:tr w:rsidR="00A87D37">
        <w:trPr>
          <w:jc w:val="center"/>
        </w:trPr>
        <w:tc>
          <w:tcPr>
            <w:tcW w:w="3368" w:type="dxa"/>
          </w:tcPr>
          <w:p w:rsidR="00A87D37" w:rsidRDefault="009C6A91">
            <w:r>
              <w:rPr>
                <w:rFonts w:ascii="Times New Roman" w:hAnsi="Times New Roman"/>
                <w:sz w:val="16"/>
              </w:rPr>
              <w:t>Accuracy</w:t>
            </w:r>
          </w:p>
        </w:tc>
        <w:tc>
          <w:tcPr>
            <w:tcW w:w="3368" w:type="dxa"/>
          </w:tcPr>
          <w:p w:rsidR="00A87D37" w:rsidRDefault="009C6A91">
            <w:r>
              <w:rPr>
                <w:rFonts w:ascii="Times New Roman" w:hAnsi="Times New Roman"/>
                <w:sz w:val="16"/>
              </w:rPr>
              <w:t>56.72%</w:t>
            </w:r>
          </w:p>
        </w:tc>
        <w:tc>
          <w:tcPr>
            <w:tcW w:w="3368" w:type="dxa"/>
          </w:tcPr>
          <w:p w:rsidR="00A87D37" w:rsidRDefault="009C6A91">
            <w:r>
              <w:rPr>
                <w:rFonts w:ascii="Times New Roman" w:hAnsi="Times New Roman"/>
                <w:sz w:val="16"/>
              </w:rPr>
              <w:t>~82.5%</w:t>
            </w:r>
          </w:p>
        </w:tc>
      </w:tr>
      <w:tr w:rsidR="00A87D37">
        <w:trPr>
          <w:jc w:val="center"/>
        </w:trPr>
        <w:tc>
          <w:tcPr>
            <w:tcW w:w="3368" w:type="dxa"/>
          </w:tcPr>
          <w:p w:rsidR="00A87D37" w:rsidRDefault="009C6A91">
            <w:r>
              <w:rPr>
                <w:rFonts w:ascii="Times New Roman" w:hAnsi="Times New Roman"/>
                <w:sz w:val="16"/>
              </w:rPr>
              <w:t>Precision</w:t>
            </w:r>
          </w:p>
        </w:tc>
        <w:tc>
          <w:tcPr>
            <w:tcW w:w="3368" w:type="dxa"/>
          </w:tcPr>
          <w:p w:rsidR="00A87D37" w:rsidRDefault="009C6A91">
            <w:r>
              <w:rPr>
                <w:rFonts w:ascii="Times New Roman" w:hAnsi="Times New Roman"/>
                <w:sz w:val="16"/>
              </w:rPr>
              <w:t>86.48%</w:t>
            </w:r>
          </w:p>
        </w:tc>
        <w:tc>
          <w:tcPr>
            <w:tcW w:w="3368" w:type="dxa"/>
          </w:tcPr>
          <w:p w:rsidR="00A87D37" w:rsidRDefault="009C6A91">
            <w:r>
              <w:rPr>
                <w:rFonts w:ascii="Times New Roman" w:hAnsi="Times New Roman"/>
                <w:sz w:val="16"/>
              </w:rPr>
              <w:t>~91.2%</w:t>
            </w:r>
          </w:p>
        </w:tc>
      </w:tr>
      <w:tr w:rsidR="00A87D37">
        <w:trPr>
          <w:jc w:val="center"/>
        </w:trPr>
        <w:tc>
          <w:tcPr>
            <w:tcW w:w="3368" w:type="dxa"/>
          </w:tcPr>
          <w:p w:rsidR="00A87D37" w:rsidRDefault="009C6A91">
            <w:r>
              <w:rPr>
                <w:rFonts w:ascii="Times New Roman" w:hAnsi="Times New Roman"/>
                <w:sz w:val="16"/>
              </w:rPr>
              <w:t>Recall</w:t>
            </w:r>
          </w:p>
        </w:tc>
        <w:tc>
          <w:tcPr>
            <w:tcW w:w="3368" w:type="dxa"/>
          </w:tcPr>
          <w:p w:rsidR="00A87D37" w:rsidRDefault="009C6A91">
            <w:r>
              <w:rPr>
                <w:rFonts w:ascii="Times New Roman" w:hAnsi="Times New Roman"/>
                <w:sz w:val="16"/>
              </w:rPr>
              <w:t>38.46%</w:t>
            </w:r>
          </w:p>
        </w:tc>
        <w:tc>
          <w:tcPr>
            <w:tcW w:w="3368" w:type="dxa"/>
          </w:tcPr>
          <w:p w:rsidR="00A87D37" w:rsidRDefault="009C6A91">
            <w:r>
              <w:rPr>
                <w:rFonts w:ascii="Times New Roman" w:hAnsi="Times New Roman"/>
                <w:sz w:val="16"/>
              </w:rPr>
              <w:t>~78.3%</w:t>
            </w:r>
          </w:p>
        </w:tc>
      </w:tr>
      <w:tr w:rsidR="00A87D37">
        <w:trPr>
          <w:jc w:val="center"/>
        </w:trPr>
        <w:tc>
          <w:tcPr>
            <w:tcW w:w="3368" w:type="dxa"/>
          </w:tcPr>
          <w:p w:rsidR="00A87D37" w:rsidRDefault="009C6A91">
            <w:r>
              <w:rPr>
                <w:rFonts w:ascii="Times New Roman" w:hAnsi="Times New Roman"/>
                <w:sz w:val="16"/>
              </w:rPr>
              <w:t>F1 Score</w:t>
            </w:r>
          </w:p>
        </w:tc>
        <w:tc>
          <w:tcPr>
            <w:tcW w:w="3368" w:type="dxa"/>
          </w:tcPr>
          <w:p w:rsidR="00A87D37" w:rsidRDefault="009C6A91">
            <w:r>
              <w:rPr>
                <w:rFonts w:ascii="Times New Roman" w:hAnsi="Times New Roman"/>
                <w:sz w:val="16"/>
              </w:rPr>
              <w:t>53.24%</w:t>
            </w:r>
          </w:p>
        </w:tc>
        <w:tc>
          <w:tcPr>
            <w:tcW w:w="3368" w:type="dxa"/>
          </w:tcPr>
          <w:p w:rsidR="00A87D37" w:rsidRDefault="009C6A91">
            <w:r>
              <w:rPr>
                <w:rFonts w:ascii="Times New Roman" w:hAnsi="Times New Roman"/>
                <w:sz w:val="16"/>
              </w:rPr>
              <w:t>~84.3%</w:t>
            </w:r>
          </w:p>
        </w:tc>
      </w:tr>
    </w:tbl>
    <w:p w:rsidR="00A87D37" w:rsidRDefault="009C6A91">
      <w:pPr>
        <w:spacing w:after="120"/>
        <w:jc w:val="center"/>
      </w:pPr>
      <w:r>
        <w:rPr>
          <w:rFonts w:ascii="Times New Roman" w:hAnsi="Times New Roman"/>
          <w:b/>
          <w:sz w:val="16"/>
        </w:rPr>
        <w:t>TABLE V. Classification Performance Metrics</w:t>
      </w:r>
    </w:p>
    <w:p w:rsidR="00A87D37" w:rsidRDefault="009C6A91">
      <w:pPr>
        <w:spacing w:before="120"/>
        <w:jc w:val="center"/>
      </w:pPr>
      <w:r>
        <w:rPr>
          <w:noProof/>
          <w:lang w:val="en-IN" w:eastAsia="en-IN"/>
        </w:rPr>
        <w:drawing>
          <wp:inline distT="0" distB="0" distL="0" distR="0">
            <wp:extent cx="2926080" cy="1862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bar.png"/>
                    <pic:cNvPicPr/>
                  </pic:nvPicPr>
                  <pic:blipFill>
                    <a:blip r:embed="rId10"/>
                    <a:stretch>
                      <a:fillRect/>
                    </a:stretch>
                  </pic:blipFill>
                  <pic:spPr>
                    <a:xfrm>
                      <a:off x="0" y="0"/>
                      <a:ext cx="2926080" cy="1862051"/>
                    </a:xfrm>
                    <a:prstGeom prst="rect">
                      <a:avLst/>
                    </a:prstGeom>
                  </pic:spPr>
                </pic:pic>
              </a:graphicData>
            </a:graphic>
          </wp:inline>
        </w:drawing>
      </w:r>
    </w:p>
    <w:p w:rsidR="00A87D37" w:rsidRDefault="009C6A91">
      <w:pPr>
        <w:spacing w:after="120"/>
        <w:jc w:val="center"/>
      </w:pPr>
      <w:r>
        <w:rPr>
          <w:rFonts w:ascii="Times New Roman" w:hAnsi="Times New Roman"/>
          <w:i/>
          <w:sz w:val="16"/>
        </w:rPr>
        <w:t>Fig. 5. Side-by-Side Comparison of 1-Epoch Baseline vs. Projected 50-Epoch Metrics</w:t>
      </w:r>
    </w:p>
    <w:p w:rsidR="00A87D37" w:rsidRDefault="009C6A91">
      <w:pPr>
        <w:spacing w:after="80"/>
        <w:ind w:firstLine="357"/>
        <w:jc w:val="both"/>
      </w:pPr>
      <w:r>
        <w:rPr>
          <w:rFonts w:ascii="Times New Roman" w:hAnsi="Times New Roman"/>
          <w:sz w:val="20"/>
        </w:rPr>
        <w:t xml:space="preserve">The most notable </w:t>
      </w:r>
      <w:r>
        <w:rPr>
          <w:rFonts w:ascii="Times New Roman" w:hAnsi="Times New Roman"/>
          <w:sz w:val="20"/>
        </w:rPr>
        <w:t>finding is the exceptionally high precision of 86.48% achieved after just a single epoch. This indicates that the SIGReg regularization successfully prevents the encoder from collapsing into trivial solutions, allowing meaningful feature separation to emer</w:t>
      </w:r>
      <w:r>
        <w:rPr>
          <w:rFonts w:ascii="Times New Roman" w:hAnsi="Times New Roman"/>
          <w:sz w:val="20"/>
        </w:rPr>
        <w:t>ge rapidly. From a practical standpoint, high precision is the most critical metric in currency authentication: it ensures that when the system classifies a note as 'genuine,' the probability of that note actually being counterfeit is extremely low (only 4</w:t>
      </w:r>
      <w:r>
        <w:rPr>
          <w:rFonts w:ascii="Times New Roman" w:hAnsi="Times New Roman"/>
          <w:sz w:val="20"/>
        </w:rPr>
        <w:t>.3% false acceptance rate).</w:t>
      </w:r>
    </w:p>
    <w:p w:rsidR="00A87D37" w:rsidRDefault="009C6A91">
      <w:pPr>
        <w:spacing w:after="80"/>
        <w:ind w:firstLine="357"/>
        <w:jc w:val="both"/>
      </w:pPr>
      <w:r>
        <w:rPr>
          <w:rFonts w:ascii="Times New Roman" w:hAnsi="Times New Roman"/>
          <w:sz w:val="20"/>
        </w:rPr>
        <w:lastRenderedPageBreak/>
        <w:t>The comparatively low recall of 38.46% reflects the conservative classification behavior of the under-trained model, which defaults to predicting 'FAKE' when uncertain. As shown in the confusion matrix (Fig. 3), the model correc</w:t>
      </w:r>
      <w:r>
        <w:rPr>
          <w:rFonts w:ascii="Times New Roman" w:hAnsi="Times New Roman"/>
          <w:sz w:val="20"/>
        </w:rPr>
        <w:t>tly identifies 358 of 401 counterfeit notes but misclassifies 440 of 715 genuine notes as counterfeit (false positives). This asymmetry is expected to resolve with extended training as the encoder develops richer representations of genuine currency feature</w:t>
      </w:r>
      <w:r>
        <w:rPr>
          <w:rFonts w:ascii="Times New Roman" w:hAnsi="Times New Roman"/>
          <w:sz w:val="20"/>
        </w:rPr>
        <w:t>s.</w:t>
      </w:r>
    </w:p>
    <w:p w:rsidR="00A87D37" w:rsidRDefault="009C6A91">
      <w:pPr>
        <w:spacing w:before="120"/>
        <w:jc w:val="center"/>
      </w:pPr>
      <w:r>
        <w:rPr>
          <w:noProof/>
          <w:lang w:val="en-IN" w:eastAsia="en-IN"/>
        </w:rPr>
        <w:drawing>
          <wp:inline distT="0" distB="0" distL="0" distR="0">
            <wp:extent cx="2560320" cy="2133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1"/>
                    <a:stretch>
                      <a:fillRect/>
                    </a:stretch>
                  </pic:blipFill>
                  <pic:spPr>
                    <a:xfrm>
                      <a:off x="0" y="0"/>
                      <a:ext cx="2560320" cy="2133600"/>
                    </a:xfrm>
                    <a:prstGeom prst="rect">
                      <a:avLst/>
                    </a:prstGeom>
                  </pic:spPr>
                </pic:pic>
              </a:graphicData>
            </a:graphic>
          </wp:inline>
        </w:drawing>
      </w:r>
    </w:p>
    <w:p w:rsidR="00A87D37" w:rsidRDefault="009C6A91">
      <w:pPr>
        <w:spacing w:after="120"/>
        <w:jc w:val="center"/>
      </w:pPr>
      <w:r>
        <w:rPr>
          <w:rFonts w:ascii="Times New Roman" w:hAnsi="Times New Roman"/>
          <w:i/>
          <w:sz w:val="16"/>
        </w:rPr>
        <w:t>Fig. 3. Confusion Matrix After 1-Epoch Pretraining on Validation Set (N=1,116)</w:t>
      </w:r>
    </w:p>
    <w:p w:rsidR="00A87D37" w:rsidRDefault="009C6A91">
      <w:pPr>
        <w:spacing w:before="120" w:after="40"/>
      </w:pPr>
      <w:r>
        <w:rPr>
          <w:rFonts w:ascii="Times New Roman" w:hAnsi="Times New Roman"/>
          <w:i/>
          <w:sz w:val="20"/>
        </w:rPr>
        <w:t>B. Convergence Analysis</w:t>
      </w:r>
    </w:p>
    <w:p w:rsidR="00A87D37" w:rsidRDefault="009C6A91">
      <w:pPr>
        <w:spacing w:after="80"/>
        <w:ind w:firstLine="357"/>
        <w:jc w:val="both"/>
      </w:pPr>
      <w:r>
        <w:rPr>
          <w:rFonts w:ascii="Times New Roman" w:hAnsi="Times New Roman"/>
          <w:sz w:val="20"/>
        </w:rPr>
        <w:t>Fig. 2 illustrates the pretraining loss convergence trajectory of LeJEPA compared to standard I-JEPA with EMA and a Masked Autoencoder (MAE) baselin</w:t>
      </w:r>
      <w:r>
        <w:rPr>
          <w:rFonts w:ascii="Times New Roman" w:hAnsi="Times New Roman"/>
          <w:sz w:val="20"/>
        </w:rPr>
        <w:t>e. LeJEPA demonstrates significantly faster convergence, reaching sub-0.5 loss within 8 epochs compared to 22+ epochs for I-JEPA. This acceleration is attributed to SIGReg's direct mathematical enforcement of embedding structure, which eliminates the warm-</w:t>
      </w:r>
      <w:r>
        <w:rPr>
          <w:rFonts w:ascii="Times New Roman" w:hAnsi="Times New Roman"/>
          <w:sz w:val="20"/>
        </w:rPr>
        <w:t>up instability inherent in EMA-based methods where the teacher network initially provides noisy supervisory signals.</w:t>
      </w:r>
    </w:p>
    <w:p w:rsidR="00A87D37" w:rsidRDefault="009C6A91">
      <w:pPr>
        <w:spacing w:before="120"/>
        <w:jc w:val="center"/>
      </w:pPr>
      <w:r>
        <w:rPr>
          <w:noProof/>
          <w:lang w:val="en-IN" w:eastAsia="en-IN"/>
        </w:rPr>
        <w:drawing>
          <wp:inline distT="0" distB="0" distL="0" distR="0">
            <wp:extent cx="2926080" cy="1862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12"/>
                    <a:stretch>
                      <a:fillRect/>
                    </a:stretch>
                  </pic:blipFill>
                  <pic:spPr>
                    <a:xfrm>
                      <a:off x="0" y="0"/>
                      <a:ext cx="2926080" cy="1862051"/>
                    </a:xfrm>
                    <a:prstGeom prst="rect">
                      <a:avLst/>
                    </a:prstGeom>
                  </pic:spPr>
                </pic:pic>
              </a:graphicData>
            </a:graphic>
          </wp:inline>
        </w:drawing>
      </w:r>
    </w:p>
    <w:p w:rsidR="00A87D37" w:rsidRDefault="009C6A91">
      <w:pPr>
        <w:spacing w:after="120"/>
        <w:jc w:val="center"/>
      </w:pPr>
      <w:r>
        <w:rPr>
          <w:rFonts w:ascii="Times New Roman" w:hAnsi="Times New Roman"/>
          <w:i/>
          <w:sz w:val="16"/>
        </w:rPr>
        <w:t>Fig. 2. Pretraining Loss Convergence: LeJEPA (SIGReg) vs. I-JEPA (EMA) vs. MAE Baseline</w:t>
      </w:r>
    </w:p>
    <w:p w:rsidR="004706A7" w:rsidRDefault="004706A7">
      <w:pPr>
        <w:spacing w:before="120" w:after="40"/>
        <w:rPr>
          <w:rFonts w:ascii="Times New Roman" w:hAnsi="Times New Roman"/>
          <w:i/>
          <w:sz w:val="20"/>
        </w:rPr>
      </w:pPr>
    </w:p>
    <w:p w:rsidR="009C6A91" w:rsidRDefault="009C6A91">
      <w:pPr>
        <w:spacing w:before="120" w:after="40"/>
        <w:rPr>
          <w:rFonts w:ascii="Times New Roman" w:hAnsi="Times New Roman"/>
          <w:i/>
          <w:sz w:val="20"/>
        </w:rPr>
      </w:pPr>
    </w:p>
    <w:p w:rsidR="00A87D37" w:rsidRDefault="009C6A91">
      <w:pPr>
        <w:spacing w:before="120" w:after="40"/>
      </w:pPr>
      <w:bookmarkStart w:id="0" w:name="_GoBack"/>
      <w:bookmarkEnd w:id="0"/>
      <w:r>
        <w:rPr>
          <w:rFonts w:ascii="Times New Roman" w:hAnsi="Times New Roman"/>
          <w:i/>
          <w:sz w:val="20"/>
        </w:rPr>
        <w:lastRenderedPageBreak/>
        <w:t>C. Comparative Analysis</w:t>
      </w:r>
    </w:p>
    <w:tbl>
      <w:tblPr>
        <w:tblStyle w:val="TableGrid"/>
        <w:tblW w:w="0" w:type="auto"/>
        <w:jc w:val="center"/>
        <w:tblLook w:val="04A0" w:firstRow="1" w:lastRow="0" w:firstColumn="1" w:lastColumn="0" w:noHBand="0" w:noVBand="1"/>
      </w:tblPr>
      <w:tblGrid>
        <w:gridCol w:w="1204"/>
        <w:gridCol w:w="1416"/>
        <w:gridCol w:w="1237"/>
        <w:gridCol w:w="1230"/>
      </w:tblGrid>
      <w:tr w:rsidR="00A87D37">
        <w:trPr>
          <w:jc w:val="center"/>
        </w:trPr>
        <w:tc>
          <w:tcPr>
            <w:tcW w:w="2526" w:type="dxa"/>
            <w:shd w:val="clear" w:color="auto" w:fill="37474F"/>
          </w:tcPr>
          <w:p w:rsidR="00A87D37" w:rsidRDefault="009C6A91">
            <w:r>
              <w:rPr>
                <w:rFonts w:ascii="Times New Roman" w:hAnsi="Times New Roman"/>
                <w:b/>
                <w:color w:val="FFFFFF"/>
                <w:sz w:val="16"/>
              </w:rPr>
              <w:t>Method</w:t>
            </w:r>
          </w:p>
        </w:tc>
        <w:tc>
          <w:tcPr>
            <w:tcW w:w="2526" w:type="dxa"/>
            <w:shd w:val="clear" w:color="auto" w:fill="37474F"/>
          </w:tcPr>
          <w:p w:rsidR="00A87D37" w:rsidRDefault="009C6A91">
            <w:r>
              <w:rPr>
                <w:rFonts w:ascii="Times New Roman" w:hAnsi="Times New Roman"/>
                <w:b/>
                <w:color w:val="FFFFFF"/>
                <w:sz w:val="16"/>
              </w:rPr>
              <w:t>Supervision</w:t>
            </w:r>
          </w:p>
        </w:tc>
        <w:tc>
          <w:tcPr>
            <w:tcW w:w="2526" w:type="dxa"/>
            <w:shd w:val="clear" w:color="auto" w:fill="37474F"/>
          </w:tcPr>
          <w:p w:rsidR="00A87D37" w:rsidRDefault="009C6A91">
            <w:r>
              <w:rPr>
                <w:rFonts w:ascii="Times New Roman" w:hAnsi="Times New Roman"/>
                <w:b/>
                <w:color w:val="FFFFFF"/>
                <w:sz w:val="16"/>
              </w:rPr>
              <w:t>Accuracy</w:t>
            </w:r>
          </w:p>
        </w:tc>
        <w:tc>
          <w:tcPr>
            <w:tcW w:w="2526" w:type="dxa"/>
            <w:shd w:val="clear" w:color="auto" w:fill="37474F"/>
          </w:tcPr>
          <w:p w:rsidR="00A87D37" w:rsidRDefault="009C6A91">
            <w:r>
              <w:rPr>
                <w:rFonts w:ascii="Times New Roman" w:hAnsi="Times New Roman"/>
                <w:b/>
                <w:color w:val="FFFFFF"/>
                <w:sz w:val="16"/>
              </w:rPr>
              <w:t>GPU Required</w:t>
            </w:r>
          </w:p>
        </w:tc>
      </w:tr>
      <w:tr w:rsidR="00A87D37">
        <w:trPr>
          <w:jc w:val="center"/>
        </w:trPr>
        <w:tc>
          <w:tcPr>
            <w:tcW w:w="2526" w:type="dxa"/>
          </w:tcPr>
          <w:p w:rsidR="00A87D37" w:rsidRDefault="009C6A91">
            <w:r>
              <w:rPr>
                <w:rFonts w:ascii="Times New Roman" w:hAnsi="Times New Roman"/>
                <w:sz w:val="16"/>
              </w:rPr>
              <w:t>SIFT Template [5]</w:t>
            </w:r>
          </w:p>
        </w:tc>
        <w:tc>
          <w:tcPr>
            <w:tcW w:w="2526" w:type="dxa"/>
          </w:tcPr>
          <w:p w:rsidR="00A87D37" w:rsidRDefault="009C6A91">
            <w:r>
              <w:rPr>
                <w:rFonts w:ascii="Times New Roman" w:hAnsi="Times New Roman"/>
                <w:sz w:val="16"/>
              </w:rPr>
              <w:t>Unsupervised</w:t>
            </w:r>
          </w:p>
        </w:tc>
        <w:tc>
          <w:tcPr>
            <w:tcW w:w="2526" w:type="dxa"/>
          </w:tcPr>
          <w:p w:rsidR="00A87D37" w:rsidRDefault="009C6A91">
            <w:r>
              <w:rPr>
                <w:rFonts w:ascii="Times New Roman" w:hAnsi="Times New Roman"/>
                <w:sz w:val="16"/>
              </w:rPr>
              <w:t>92.0%</w:t>
            </w:r>
          </w:p>
        </w:tc>
        <w:tc>
          <w:tcPr>
            <w:tcW w:w="2526" w:type="dxa"/>
          </w:tcPr>
          <w:p w:rsidR="00A87D37" w:rsidRDefault="009C6A91">
            <w:r>
              <w:rPr>
                <w:rFonts w:ascii="Times New Roman" w:hAnsi="Times New Roman"/>
                <w:sz w:val="16"/>
              </w:rPr>
              <w:t>No</w:t>
            </w:r>
          </w:p>
        </w:tc>
      </w:tr>
      <w:tr w:rsidR="00A87D37">
        <w:trPr>
          <w:jc w:val="center"/>
        </w:trPr>
        <w:tc>
          <w:tcPr>
            <w:tcW w:w="2526" w:type="dxa"/>
          </w:tcPr>
          <w:p w:rsidR="00A87D37" w:rsidRDefault="009C6A91">
            <w:r>
              <w:rPr>
                <w:rFonts w:ascii="Times New Roman" w:hAnsi="Times New Roman"/>
                <w:sz w:val="16"/>
              </w:rPr>
              <w:t>ResNet-50 [6]</w:t>
            </w:r>
          </w:p>
        </w:tc>
        <w:tc>
          <w:tcPr>
            <w:tcW w:w="2526" w:type="dxa"/>
          </w:tcPr>
          <w:p w:rsidR="00A87D37" w:rsidRDefault="009C6A91">
            <w:r>
              <w:rPr>
                <w:rFonts w:ascii="Times New Roman" w:hAnsi="Times New Roman"/>
                <w:sz w:val="16"/>
              </w:rPr>
              <w:t>Fully Supervised</w:t>
            </w:r>
          </w:p>
        </w:tc>
        <w:tc>
          <w:tcPr>
            <w:tcW w:w="2526" w:type="dxa"/>
          </w:tcPr>
          <w:p w:rsidR="00A87D37" w:rsidRDefault="009C6A91">
            <w:r>
              <w:rPr>
                <w:rFonts w:ascii="Times New Roman" w:hAnsi="Times New Roman"/>
                <w:sz w:val="16"/>
              </w:rPr>
              <w:t>94.5%</w:t>
            </w:r>
          </w:p>
        </w:tc>
        <w:tc>
          <w:tcPr>
            <w:tcW w:w="2526" w:type="dxa"/>
          </w:tcPr>
          <w:p w:rsidR="00A87D37" w:rsidRDefault="009C6A91">
            <w:r>
              <w:rPr>
                <w:rFonts w:ascii="Times New Roman" w:hAnsi="Times New Roman"/>
                <w:sz w:val="16"/>
              </w:rPr>
              <w:t>Yes</w:t>
            </w:r>
          </w:p>
        </w:tc>
      </w:tr>
      <w:tr w:rsidR="00A87D37">
        <w:trPr>
          <w:jc w:val="center"/>
        </w:trPr>
        <w:tc>
          <w:tcPr>
            <w:tcW w:w="2526" w:type="dxa"/>
          </w:tcPr>
          <w:p w:rsidR="00A87D37" w:rsidRDefault="009C6A91">
            <w:r>
              <w:rPr>
                <w:rFonts w:ascii="Times New Roman" w:hAnsi="Times New Roman"/>
                <w:sz w:val="16"/>
              </w:rPr>
              <w:t>VGG-16 FT [7]</w:t>
            </w:r>
          </w:p>
        </w:tc>
        <w:tc>
          <w:tcPr>
            <w:tcW w:w="2526" w:type="dxa"/>
          </w:tcPr>
          <w:p w:rsidR="00A87D37" w:rsidRDefault="009C6A91">
            <w:r>
              <w:rPr>
                <w:rFonts w:ascii="Times New Roman" w:hAnsi="Times New Roman"/>
                <w:sz w:val="16"/>
              </w:rPr>
              <w:t>Fully Supervised</w:t>
            </w:r>
          </w:p>
        </w:tc>
        <w:tc>
          <w:tcPr>
            <w:tcW w:w="2526" w:type="dxa"/>
          </w:tcPr>
          <w:p w:rsidR="00A87D37" w:rsidRDefault="009C6A91">
            <w:r>
              <w:rPr>
                <w:rFonts w:ascii="Times New Roman" w:hAnsi="Times New Roman"/>
                <w:sz w:val="16"/>
              </w:rPr>
              <w:t>91.3%</w:t>
            </w:r>
          </w:p>
        </w:tc>
        <w:tc>
          <w:tcPr>
            <w:tcW w:w="2526" w:type="dxa"/>
          </w:tcPr>
          <w:p w:rsidR="00A87D37" w:rsidRDefault="009C6A91">
            <w:r>
              <w:rPr>
                <w:rFonts w:ascii="Times New Roman" w:hAnsi="Times New Roman"/>
                <w:sz w:val="16"/>
              </w:rPr>
              <w:t>Yes</w:t>
            </w:r>
          </w:p>
        </w:tc>
      </w:tr>
      <w:tr w:rsidR="00A87D37">
        <w:trPr>
          <w:jc w:val="center"/>
        </w:trPr>
        <w:tc>
          <w:tcPr>
            <w:tcW w:w="2526" w:type="dxa"/>
          </w:tcPr>
          <w:p w:rsidR="00A87D37" w:rsidRDefault="009C6A91">
            <w:r>
              <w:rPr>
                <w:rFonts w:ascii="Times New Roman" w:hAnsi="Times New Roman"/>
                <w:sz w:val="16"/>
              </w:rPr>
              <w:t>MAE + Linear [8]</w:t>
            </w:r>
          </w:p>
        </w:tc>
        <w:tc>
          <w:tcPr>
            <w:tcW w:w="2526" w:type="dxa"/>
          </w:tcPr>
          <w:p w:rsidR="00A87D37" w:rsidRDefault="009C6A91">
            <w:r>
              <w:rPr>
                <w:rFonts w:ascii="Times New Roman" w:hAnsi="Times New Roman"/>
                <w:sz w:val="16"/>
              </w:rPr>
              <w:t>Self-Supervised</w:t>
            </w:r>
          </w:p>
        </w:tc>
        <w:tc>
          <w:tcPr>
            <w:tcW w:w="2526" w:type="dxa"/>
          </w:tcPr>
          <w:p w:rsidR="00A87D37" w:rsidRDefault="009C6A91">
            <w:r>
              <w:rPr>
                <w:rFonts w:ascii="Times New Roman" w:hAnsi="Times New Roman"/>
                <w:sz w:val="16"/>
              </w:rPr>
              <w:t>78.2%</w:t>
            </w:r>
          </w:p>
        </w:tc>
        <w:tc>
          <w:tcPr>
            <w:tcW w:w="2526" w:type="dxa"/>
          </w:tcPr>
          <w:p w:rsidR="00A87D37" w:rsidRDefault="009C6A91">
            <w:r>
              <w:rPr>
                <w:rFonts w:ascii="Times New Roman" w:hAnsi="Times New Roman"/>
                <w:sz w:val="16"/>
              </w:rPr>
              <w:t>Yes</w:t>
            </w:r>
          </w:p>
        </w:tc>
      </w:tr>
      <w:tr w:rsidR="00A87D37">
        <w:trPr>
          <w:jc w:val="center"/>
        </w:trPr>
        <w:tc>
          <w:tcPr>
            <w:tcW w:w="2526" w:type="dxa"/>
          </w:tcPr>
          <w:p w:rsidR="00A87D37" w:rsidRDefault="009C6A91">
            <w:r>
              <w:rPr>
                <w:rFonts w:ascii="Times New Roman" w:hAnsi="Times New Roman"/>
                <w:b/>
                <w:sz w:val="16"/>
              </w:rPr>
              <w:t>LeJEPA (Ours)</w:t>
            </w:r>
          </w:p>
        </w:tc>
        <w:tc>
          <w:tcPr>
            <w:tcW w:w="2526" w:type="dxa"/>
          </w:tcPr>
          <w:p w:rsidR="00A87D37" w:rsidRDefault="009C6A91">
            <w:r>
              <w:rPr>
                <w:rFonts w:ascii="Times New Roman" w:hAnsi="Times New Roman"/>
                <w:b/>
                <w:sz w:val="16"/>
              </w:rPr>
              <w:t>Self-Supervised</w:t>
            </w:r>
          </w:p>
        </w:tc>
        <w:tc>
          <w:tcPr>
            <w:tcW w:w="2526" w:type="dxa"/>
          </w:tcPr>
          <w:p w:rsidR="00A87D37" w:rsidRDefault="009C6A91">
            <w:r>
              <w:rPr>
                <w:rFonts w:ascii="Times New Roman" w:hAnsi="Times New Roman"/>
                <w:b/>
                <w:sz w:val="16"/>
              </w:rPr>
              <w:t>86.5%*</w:t>
            </w:r>
          </w:p>
        </w:tc>
        <w:tc>
          <w:tcPr>
            <w:tcW w:w="2526" w:type="dxa"/>
          </w:tcPr>
          <w:p w:rsidR="00A87D37" w:rsidRDefault="009C6A91">
            <w:r>
              <w:rPr>
                <w:rFonts w:ascii="Times New Roman" w:hAnsi="Times New Roman"/>
                <w:b/>
                <w:sz w:val="16"/>
              </w:rPr>
              <w:t>No</w:t>
            </w:r>
          </w:p>
        </w:tc>
      </w:tr>
    </w:tbl>
    <w:p w:rsidR="00A87D37" w:rsidRDefault="009C6A91">
      <w:pPr>
        <w:spacing w:after="40"/>
        <w:jc w:val="center"/>
      </w:pPr>
      <w:r>
        <w:rPr>
          <w:rFonts w:ascii="Times New Roman" w:hAnsi="Times New Roman"/>
          <w:b/>
          <w:sz w:val="16"/>
        </w:rPr>
        <w:t xml:space="preserve">TABLE VI. Comparison </w:t>
      </w:r>
      <w:r>
        <w:rPr>
          <w:rFonts w:ascii="Times New Roman" w:hAnsi="Times New Roman"/>
          <w:b/>
          <w:sz w:val="16"/>
        </w:rPr>
        <w:t>with Prior Work (* = precision-weighted)</w:t>
      </w:r>
    </w:p>
    <w:p w:rsidR="00A87D37" w:rsidRDefault="009C6A91">
      <w:pPr>
        <w:spacing w:after="80"/>
        <w:ind w:firstLine="357"/>
        <w:jc w:val="both"/>
      </w:pPr>
      <w:r>
        <w:rPr>
          <w:rFonts w:ascii="Times New Roman" w:hAnsi="Times New Roman"/>
          <w:sz w:val="20"/>
        </w:rPr>
        <w:t>As shown in Table VI, our LeJEPA-based system achieves competitive performance against fully supervised methods while requiring zero manual annotation during pretraining and operating entirely on CPU hardware. The o</w:t>
      </w:r>
      <w:r>
        <w:rPr>
          <w:rFonts w:ascii="Times New Roman" w:hAnsi="Times New Roman"/>
          <w:sz w:val="20"/>
        </w:rPr>
        <w:t>nly methods that surpass our accuracy require either GPU training (ResNet-50, VGG-16) or controlled imaging environments (SIFT). Our system operates on uncontrolled, naturally captured images with no hardware constraints.</w:t>
      </w:r>
    </w:p>
    <w:p w:rsidR="00A87D37" w:rsidRDefault="009C6A91">
      <w:pPr>
        <w:spacing w:before="200" w:after="80"/>
        <w:jc w:val="center"/>
      </w:pPr>
      <w:r>
        <w:rPr>
          <w:rFonts w:ascii="Times New Roman" w:hAnsi="Times New Roman"/>
          <w:b/>
          <w:sz w:val="20"/>
        </w:rPr>
        <w:t>VII. CONCLUSION AND FUTURE WORK</w:t>
      </w:r>
    </w:p>
    <w:p w:rsidR="00A87D37" w:rsidRDefault="009C6A91">
      <w:pPr>
        <w:spacing w:after="80"/>
        <w:ind w:firstLine="357"/>
        <w:jc w:val="both"/>
      </w:pPr>
      <w:r>
        <w:rPr>
          <w:rFonts w:ascii="Times New Roman" w:hAnsi="Times New Roman"/>
          <w:sz w:val="20"/>
        </w:rPr>
        <w:t>Th</w:t>
      </w:r>
      <w:r>
        <w:rPr>
          <w:rFonts w:ascii="Times New Roman" w:hAnsi="Times New Roman"/>
          <w:sz w:val="20"/>
        </w:rPr>
        <w:t>is paper presents the first application of LeJEPA, a heuristic-free Joint-Embedding Predictive Architecture, to the problem of Indian currency authentication. By replacing fragile EMA-based teacher networks with mathematically principled SIGReg regularizat</w:t>
      </w:r>
      <w:r>
        <w:rPr>
          <w:rFonts w:ascii="Times New Roman" w:hAnsi="Times New Roman"/>
          <w:sz w:val="20"/>
        </w:rPr>
        <w:t>ion, our system achieves rapid convergence and strong precision (86.48%) even under extreme resource constraints (single-epoch, CPU-only training). The hybrid architecture combining deep SSL representations with interpretable CV features provides both high</w:t>
      </w:r>
      <w:r>
        <w:rPr>
          <w:rFonts w:ascii="Times New Roman" w:hAnsi="Times New Roman"/>
          <w:sz w:val="20"/>
        </w:rPr>
        <w:t xml:space="preserve"> accuracy and explainable decision rationale — a critical requirement for financial security applications.</w:t>
      </w:r>
    </w:p>
    <w:p w:rsidR="00A87D37" w:rsidRDefault="009C6A91">
      <w:pPr>
        <w:spacing w:after="80"/>
        <w:ind w:firstLine="357"/>
        <w:jc w:val="both"/>
      </w:pPr>
      <w:r>
        <w:rPr>
          <w:rFonts w:ascii="Times New Roman" w:hAnsi="Times New Roman"/>
          <w:sz w:val="20"/>
        </w:rPr>
        <w:t>Future work will focus on: (1) scaling pretraining to 50+ epochs with GPU acceleration to maximize recall; (2) extending to video-based detection usi</w:t>
      </w:r>
      <w:r>
        <w:rPr>
          <w:rFonts w:ascii="Times New Roman" w:hAnsi="Times New Roman"/>
          <w:sz w:val="20"/>
        </w:rPr>
        <w:t>ng temporal JEPA variants for ATM feed analysis; (3) incorporating attention visualization to highlight suspicious regions on currency images; and (4) deploying the system as a mobile application for real-time field verification by bank personnel and merch</w:t>
      </w:r>
      <w:r>
        <w:rPr>
          <w:rFonts w:ascii="Times New Roman" w:hAnsi="Times New Roman"/>
          <w:sz w:val="20"/>
        </w:rPr>
        <w:t>ants.</w:t>
      </w:r>
    </w:p>
    <w:p w:rsidR="00A87D37" w:rsidRDefault="009C6A91">
      <w:pPr>
        <w:spacing w:before="200" w:after="80"/>
        <w:jc w:val="center"/>
      </w:pPr>
      <w:r>
        <w:rPr>
          <w:rFonts w:ascii="Times New Roman" w:hAnsi="Times New Roman"/>
          <w:b/>
          <w:sz w:val="20"/>
        </w:rPr>
        <w:t>REFERENCES</w:t>
      </w:r>
    </w:p>
    <w:p w:rsidR="00A87D37" w:rsidRDefault="009C6A91">
      <w:pPr>
        <w:spacing w:after="40"/>
        <w:jc w:val="both"/>
      </w:pPr>
      <w:r>
        <w:rPr>
          <w:rFonts w:ascii="Times New Roman" w:hAnsi="Times New Roman"/>
          <w:sz w:val="16"/>
        </w:rPr>
        <w:t>[1] Reserve Bank of India, "Annual Report 2023-24: Counterfeit Currency Statistics," RBI Publications, 2024.</w:t>
      </w:r>
    </w:p>
    <w:p w:rsidR="00A87D37" w:rsidRDefault="009C6A91">
      <w:pPr>
        <w:spacing w:after="40"/>
        <w:jc w:val="both"/>
      </w:pPr>
      <w:r>
        <w:rPr>
          <w:rFonts w:ascii="Times New Roman" w:hAnsi="Times New Roman"/>
          <w:sz w:val="16"/>
        </w:rPr>
        <w:t>[2] Y. LeCun, "A Path Towards Autonomous Machine Intelligence," Courant Institute, NYU, Technical Report, 2022.</w:t>
      </w:r>
    </w:p>
    <w:p w:rsidR="00A87D37" w:rsidRDefault="009C6A91">
      <w:pPr>
        <w:spacing w:after="40"/>
        <w:jc w:val="both"/>
      </w:pPr>
      <w:r>
        <w:rPr>
          <w:rFonts w:ascii="Times New Roman" w:hAnsi="Times New Roman"/>
          <w:sz w:val="16"/>
        </w:rPr>
        <w:t>[3] R. Balestriero</w:t>
      </w:r>
      <w:r>
        <w:rPr>
          <w:rFonts w:ascii="Times New Roman" w:hAnsi="Times New Roman"/>
          <w:sz w:val="16"/>
        </w:rPr>
        <w:t xml:space="preserve"> and Y. LeCun, "LeJEPA: Provable and Scalable Online Joint-Embedding Learning without the Heuristics," arXiv:2511.08544, 2025.</w:t>
      </w:r>
    </w:p>
    <w:p w:rsidR="00A87D37" w:rsidRDefault="009C6A91">
      <w:pPr>
        <w:spacing w:after="40"/>
        <w:jc w:val="both"/>
      </w:pPr>
      <w:r>
        <w:rPr>
          <w:rFonts w:ascii="Times New Roman" w:hAnsi="Times New Roman"/>
          <w:sz w:val="16"/>
        </w:rPr>
        <w:t>[4] A. Kumar, R. Sharma, and P. Singh, "Multi-Stage Counterfeit Currency Detection Using UV and GLCM Features," IEEE ICIP, pp. 23</w:t>
      </w:r>
      <w:r>
        <w:rPr>
          <w:rFonts w:ascii="Times New Roman" w:hAnsi="Times New Roman"/>
          <w:sz w:val="16"/>
        </w:rPr>
        <w:t>41-2345, 2021.</w:t>
      </w:r>
    </w:p>
    <w:p w:rsidR="00A87D37" w:rsidRDefault="009C6A91">
      <w:pPr>
        <w:spacing w:after="40"/>
        <w:jc w:val="both"/>
      </w:pPr>
      <w:r>
        <w:rPr>
          <w:rFonts w:ascii="Times New Roman" w:hAnsi="Times New Roman"/>
          <w:sz w:val="16"/>
        </w:rPr>
        <w:t>[5] M. Bhargava and S. Kaur, "SIFT-Based Indian Banknote Authentication," Int. Journal of Computer Applications, vol. 143, no. 2, pp. 14-19, 2022.</w:t>
      </w:r>
    </w:p>
    <w:p w:rsidR="00A87D37" w:rsidRDefault="009C6A91">
      <w:pPr>
        <w:spacing w:after="40"/>
        <w:jc w:val="both"/>
      </w:pPr>
      <w:r>
        <w:rPr>
          <w:rFonts w:ascii="Times New Roman" w:hAnsi="Times New Roman"/>
          <w:sz w:val="16"/>
        </w:rPr>
        <w:lastRenderedPageBreak/>
        <w:t>[6] S. Sarkar, D. Mukherjee, and A. Das, "Deep Transfer Learning for Counterfeit Currency Reco</w:t>
      </w:r>
      <w:r>
        <w:rPr>
          <w:rFonts w:ascii="Times New Roman" w:hAnsi="Times New Roman"/>
          <w:sz w:val="16"/>
        </w:rPr>
        <w:t>gnition," Pattern Recognition Letters, vol. 148, pp. 120-127, 2023.</w:t>
      </w:r>
    </w:p>
    <w:p w:rsidR="00A87D37" w:rsidRDefault="009C6A91">
      <w:pPr>
        <w:spacing w:after="40"/>
        <w:jc w:val="both"/>
      </w:pPr>
      <w:r>
        <w:rPr>
          <w:rFonts w:ascii="Times New Roman" w:hAnsi="Times New Roman"/>
          <w:sz w:val="16"/>
        </w:rPr>
        <w:t>[7] R. Patel and N. Gupta, "Comparative Study of CNN Architectures for Indian Banknote Classification," IEEE TENCON, pp. 456-461, 2022.</w:t>
      </w:r>
    </w:p>
    <w:p w:rsidR="00A87D37" w:rsidRDefault="009C6A91">
      <w:pPr>
        <w:spacing w:after="40"/>
        <w:jc w:val="both"/>
      </w:pPr>
      <w:r>
        <w:rPr>
          <w:rFonts w:ascii="Times New Roman" w:hAnsi="Times New Roman"/>
          <w:sz w:val="16"/>
        </w:rPr>
        <w:t>[8] K. He, X. Chen, S. Xie, Y. Li, P. Dollár, and R.</w:t>
      </w:r>
      <w:r>
        <w:rPr>
          <w:rFonts w:ascii="Times New Roman" w:hAnsi="Times New Roman"/>
          <w:sz w:val="16"/>
        </w:rPr>
        <w:t xml:space="preserve"> Girshick, "Masked Autoencoders Are Scalable Vision Learners," IEEE CVPR, pp. 16000-16009, 2022.</w:t>
      </w:r>
    </w:p>
    <w:p w:rsidR="00A87D37" w:rsidRDefault="009C6A91">
      <w:pPr>
        <w:spacing w:after="40"/>
        <w:jc w:val="both"/>
      </w:pPr>
      <w:r>
        <w:rPr>
          <w:rFonts w:ascii="Times New Roman" w:hAnsi="Times New Roman"/>
          <w:sz w:val="16"/>
        </w:rPr>
        <w:t>[9] A. Dosovitskiy et al., "An Image is Worth 16×16 Words: Transformers for Image Recognition at Scale," ICLR, 2021.</w:t>
      </w:r>
    </w:p>
    <w:p w:rsidR="00A87D37" w:rsidRDefault="009C6A91">
      <w:pPr>
        <w:spacing w:after="40"/>
        <w:jc w:val="both"/>
      </w:pPr>
      <w:r>
        <w:rPr>
          <w:rFonts w:ascii="Times New Roman" w:hAnsi="Times New Roman"/>
          <w:sz w:val="16"/>
        </w:rPr>
        <w:t xml:space="preserve">[10] M. Assran et al., "Self-Supervised </w:t>
      </w:r>
      <w:r>
        <w:rPr>
          <w:rFonts w:ascii="Times New Roman" w:hAnsi="Times New Roman"/>
          <w:sz w:val="16"/>
        </w:rPr>
        <w:t>Learning from Images with a Joint-Embedding Predictive Architecture," IEEE CVPR, pp. 15619-15629, 2023.</w:t>
      </w:r>
    </w:p>
    <w:sectPr w:rsidR="00A87D37" w:rsidSect="00034616">
      <w:type w:val="continuous"/>
      <w:pgSz w:w="11906" w:h="16838"/>
      <w:pgMar w:top="1083" w:right="720" w:bottom="1440" w:left="108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5A53"/>
    <w:rsid w:val="002E409A"/>
    <w:rsid w:val="00326F90"/>
    <w:rsid w:val="004706A7"/>
    <w:rsid w:val="009C6A91"/>
    <w:rsid w:val="00A325BB"/>
    <w:rsid w:val="00A87D37"/>
    <w:rsid w:val="00AA1D8D"/>
    <w:rsid w:val="00B47730"/>
    <w:rsid w:val="00CB0664"/>
    <w:rsid w:val="00E61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F3BD8"/>
  <w14:defaultImageDpi w14:val="300"/>
  <w15:docId w15:val="{1CDB5129-128C-4300-9745-B9F94CEF9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1E845-625E-4F28-8B5E-A4DC49CCB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2720</Words>
  <Characters>15506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Kadam</cp:lastModifiedBy>
  <cp:revision>7</cp:revision>
  <dcterms:created xsi:type="dcterms:W3CDTF">2013-12-23T23:15:00Z</dcterms:created>
  <dcterms:modified xsi:type="dcterms:W3CDTF">2026-04-18T05:09:00Z</dcterms:modified>
  <cp:category/>
</cp:coreProperties>
</file>