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8"/>
        </w:rPr>
        <w:t>Deep Learning Detection Strategies for Currency Forgery utilizing Sketched Isotropic Gaussian JEPAs</w:t>
      </w:r>
    </w:p>
    <w:p>
      <w:pPr>
        <w:jc w:val="center"/>
      </w:pPr>
      <w:r>
        <w:rPr>
          <w:rFonts w:ascii="Times New Roman" w:hAnsi="Times New Roman"/>
          <w:sz w:val="22"/>
        </w:rPr>
        <w:t>Author Name: Jane Doe</w:t>
        <w:br/>
        <w:t>Affiliation: Independent AI Research</w:t>
        <w:br/>
        <w:t>Email: researcher@example.com</w:t>
      </w:r>
    </w:p>
    <w:p/>
    <w:p>
      <w:r>
        <w:rPr>
          <w:rFonts w:ascii="Times New Roman" w:hAnsi="Times New Roman"/>
          <w:b/>
          <w:i/>
          <w:sz w:val="18"/>
        </w:rPr>
        <w:t>Abstract— Traditional counterfeit mapping pipelines are constrained by hand-crafted heuristics and heavy supervised labeling requirements. We present a robust, zero-shot compatible Fake Currency Detection backend API mapped natively onto a LeJEPA (Joint-Embedding Predictive Architecture) backbone. By deploying Sketched Isotropic Gaussian Regularization (SIGReg), we mathematically circumvent traditional representation collapse constraints found in standard Masked Autoencoders without requiring heuristic Exponential Moving Averages (EMA). Our local deployment successfully merges deep Vision Transformer semantics with active OpenCV feature mapping directly serving React frontend arrays.</w:t>
      </w:r>
    </w:p>
    <w:p>
      <w:pPr>
        <w:sectPr>
          <w:pgSz w:w="11909" w:h="16834"/>
          <w:pgMar w:top="1080" w:right="1080" w:bottom="1080" w:left="1080" w:header="720" w:footer="720" w:gutter="0"/>
          <w:cols w:space="720"/>
          <w:docGrid w:linePitch="360"/>
        </w:sectPr>
      </w:pPr>
    </w:p>
    <w:p>
      <w:pPr>
        <w:pStyle w:val="Heading1"/>
        <w:jc w:val="left"/>
      </w:pPr>
      <w:r>
        <w:rPr>
          <w:rFonts w:ascii="Times New Roman" w:hAnsi="Times New Roman"/>
        </w:rPr>
        <w:t>I. Introduction</w:t>
      </w:r>
    </w:p>
    <w:p>
      <w:pPr>
        <w:jc w:val="both"/>
      </w:pPr>
      <w:r>
        <w:rPr>
          <w:rFonts w:ascii="Times New Roman" w:hAnsi="Times New Roman"/>
          <w:sz w:val="20"/>
        </w:rPr>
        <w:t>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generalizability.The proliferation of high-fidelity counterfeit currency poses a systemic threat to macroeconomic stability, particularly in cash-dominant economies. Counterfeiters increasingly leverage advanced reprographic technologies to mimic intricate security protocols such as electrotype watermarks, optically variable inks, and magnetic security threads. Consequently, central banking institutions face a critical imperative to deploy automated, highly robust counterfeit detection frameworks capable of zero-shot generalizability.</w:t>
      </w:r>
    </w:p>
    <w:p>
      <w:pPr>
        <w:pStyle w:val="Heading1"/>
        <w:jc w:val="left"/>
      </w:pPr>
      <w:r>
        <w:rPr>
          <w:rFonts w:ascii="Times New Roman" w:hAnsi="Times New Roman"/>
        </w:rPr>
        <w:t>II. Background and Related Work</w:t>
      </w:r>
    </w:p>
    <w:p>
      <w:pPr>
        <w:jc w:val="both"/>
      </w:pPr>
      <w:r>
        <w:rPr>
          <w:rFonts w:ascii="Times New Roman" w:hAnsi="Times New Roman"/>
          <w:sz w:val="20"/>
        </w:rPr>
        <w:t>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collapse.Traditional Computer Vision (CV) solutions rely heavily on deterministic pixel feature extraction algorithms, such as Grey-Level Co-occurrence Matrices (GLCM) for tactile texture mapping and Structural Similarity Index (SSIM) targeting bounded physical dimensions. While effective for obvious forgeries, these heuristics dramatically fail against sophisticated anomalies that drift mathematically. Deep Learning methodologies, predominantly Convolutional Neural Networks (CNNs) like ResNet and VGG, demonstrated massive improvements but heavily require exhaustive, cost-prohibitive supervised datasets. To solve data scarcity, Self-Supervised Learning (SSL) architectures emerged. Specifically, the Joint-Embedding Predictive Architecture (JEPA) circumvented massive supervised barriers by predicting missing contextual embeddings. However, standard JEPAs require brittle Exponential Moving Average (EMA) Teacher networks to prevent representation collapse.</w:t>
      </w:r>
    </w:p>
    <w:p>
      <w:pPr>
        <w:jc w:val="both"/>
      </w:pPr>
      <w:r>
        <w:rPr>
          <w:rFonts w:ascii="Times New Roman" w:hAnsi="Times New Roman"/>
          <w:sz w:val="20"/>
        </w:rPr>
        <w:t>This perfectly outlines the heavy reliance on OpenCV matrices.</w:t>
      </w:r>
    </w:p>
    <w:p>
      <w:pPr>
        <w:pStyle w:val="Heading1"/>
        <w:jc w:val="left"/>
      </w:pPr>
      <w:r>
        <w:rPr>
          <w:rFonts w:ascii="Times New Roman" w:hAnsi="Times New Roman"/>
        </w:rPr>
        <w:t>III. Proposed Methodology</w:t>
      </w:r>
    </w:p>
    <w:p>
      <w:pPr>
        <w:jc w:val="both"/>
      </w:pPr>
      <w:r>
        <w:rPr>
          <w:rFonts w:ascii="Times New Roman" w:hAnsi="Times New Roman"/>
          <w:sz w:val="20"/>
        </w:rPr>
        <w:t>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w:t>
      </w:r>
    </w:p>
    <w:p>
      <w:pPr>
        <w:jc w:val="center"/>
      </w:pPr>
      <w:r>
        <w:drawing>
          <wp:inline xmlns:a="http://schemas.openxmlformats.org/drawingml/2006/main" xmlns:pic="http://schemas.openxmlformats.org/drawingml/2006/picture">
            <wp:extent cx="2743200" cy="1828800"/>
            <wp:docPr id="1" name="Picture 1"/>
            <wp:cNvGraphicFramePr>
              <a:graphicFrameLocks noChangeAspect="1"/>
            </wp:cNvGraphicFramePr>
            <a:graphic>
              <a:graphicData uri="http://schemas.openxmlformats.org/drawingml/2006/picture">
                <pic:pic>
                  <pic:nvPicPr>
                    <pic:cNvPr id="0" name="convergence.png"/>
                    <pic:cNvPicPr/>
                  </pic:nvPicPr>
                  <pic:blipFill>
                    <a:blip r:embed="rId9"/>
                    <a:stretch>
                      <a:fillRect/>
                    </a:stretch>
                  </pic:blipFill>
                  <pic:spPr>
                    <a:xfrm>
                      <a:off x="0" y="0"/>
                      <a:ext cx="2743200" cy="1828800"/>
                    </a:xfrm>
                    <a:prstGeom prst="rect"/>
                  </pic:spPr>
                </pic:pic>
              </a:graphicData>
            </a:graphic>
          </wp:inline>
        </w:drawing>
      </w:r>
    </w:p>
    <w:p>
      <w:pPr>
        <w:jc w:val="center"/>
      </w:pPr>
      <w:r>
        <w:rPr>
          <w:rFonts w:ascii="Times New Roman" w:hAnsi="Times New Roman"/>
          <w:sz w:val="16"/>
        </w:rPr>
        <w:t>Fig. 1. Fast SSL Convergence avoiding EMA trickery via SIGReg mathematics.</w:t>
      </w:r>
    </w:p>
    <w:p>
      <w:pPr>
        <w:jc w:val="both"/>
      </w:pPr>
      <w:r>
        <w:rPr>
          <w:rFonts w:ascii="Times New Roman" w:hAnsi="Times New Roman"/>
          <w:sz w:val="20"/>
        </w:rPr>
        <w:t>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synchronously.To counteract SSL representation collapse without EMA dependencies, this research deploys LeJEPA (Balestriero &amp; LeCun, 2025). LeJEPA bypasses architectural stop-gradients by directly integrating Sketched Isotropic Gaussian Regularization (SIGReg). SIGReg mathematically enforces that the covariance matrix of the encoded visual patches maps orthogonally across the latent space, guaranteeing unique semantic parsing for varied security features. The architecture is instantiated precisely utilizing a ViT-Tiny (192-dim) encoder module running on native CPU clusters, mapping down an image array of 7,445 currency specimens. The inference bypass layers are integrated via FastAPI and SQLAlchemy frameworks pushing base64 blobs synchronously.</w:t>
      </w:r>
    </w:p>
    <w:p>
      <w:pPr>
        <w:jc w:val="both"/>
      </w:pPr>
      <w:r>
        <w:rPr>
          <w:rFonts w:ascii="Times New Roman" w:hAnsi="Times New Roman"/>
          <w:sz w:val="20"/>
        </w:rPr>
        <w:t>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w:t>
      </w:r>
    </w:p>
    <w:p>
      <w:pPr>
        <w:pStyle w:val="Heading1"/>
        <w:jc w:val="left"/>
      </w:pPr>
      <w:r>
        <w:rPr>
          <w:rFonts w:ascii="Times New Roman" w:hAnsi="Times New Roman"/>
        </w:rPr>
        <w:t>IV. Experimental Setup</w:t>
      </w:r>
    </w:p>
    <w:p>
      <w:pPr>
        <w:jc w:val="both"/>
      </w:pPr>
      <w:r>
        <w:rPr>
          <w:rFonts w:ascii="Times New Roman" w:hAnsi="Times New Roman"/>
          <w:sz w:val="20"/>
        </w:rPr>
        <w:t>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vectors.Our experimentation hardware fundamentally utilized constrained internal CPU environments to simulate deployment in isolated remote banking terminals lacking CUDA cores. The pretraining pipeline ran 30 full epochs enforcing multi-block dimension masking, while the fine-tuning protocol operated over an additional 20 epochs natively. We mapped a composite loss function calculating the Euclidean span across identical currency embedding vectors.</w:t>
      </w:r>
    </w:p>
    <w:p>
      <w:pPr>
        <w:jc w:val="center"/>
      </w:pPr>
      <w:r>
        <w:drawing>
          <wp:inline xmlns:a="http://schemas.openxmlformats.org/drawingml/2006/main" xmlns:pic="http://schemas.openxmlformats.org/drawingml/2006/picture">
            <wp:extent cx="2743200" cy="2194560"/>
            <wp:docPr id="2" name="Picture 2"/>
            <wp:cNvGraphicFramePr>
              <a:graphicFrameLocks noChangeAspect="1"/>
            </wp:cNvGraphicFramePr>
            <a:graphic>
              <a:graphicData uri="http://schemas.openxmlformats.org/drawingml/2006/picture">
                <pic:pic>
                  <pic:nvPicPr>
                    <pic:cNvPr id="0" name="matrix.png"/>
                    <pic:cNvPicPr/>
                  </pic:nvPicPr>
                  <pic:blipFill>
                    <a:blip r:embed="rId10"/>
                    <a:stretch>
                      <a:fillRect/>
                    </a:stretch>
                  </pic:blipFill>
                  <pic:spPr>
                    <a:xfrm>
                      <a:off x="0" y="0"/>
                      <a:ext cx="2743200" cy="2194560"/>
                    </a:xfrm>
                    <a:prstGeom prst="rect"/>
                  </pic:spPr>
                </pic:pic>
              </a:graphicData>
            </a:graphic>
          </wp:inline>
        </w:drawing>
      </w:r>
    </w:p>
    <w:p>
      <w:pPr>
        <w:jc w:val="center"/>
      </w:pPr>
      <w:r>
        <w:rPr>
          <w:rFonts w:ascii="Times New Roman" w:hAnsi="Times New Roman"/>
          <w:sz w:val="16"/>
        </w:rPr>
        <w:t>Fig. 2. Confusion Matrix of Evaluation testing run natively on hold-out dataset.</w:t>
      </w:r>
    </w:p>
    <w:p>
      <w:pPr>
        <w:pStyle w:val="Heading1"/>
        <w:jc w:val="left"/>
      </w:pPr>
      <w:r>
        <w:rPr>
          <w:rFonts w:ascii="Times New Roman" w:hAnsi="Times New Roman"/>
        </w:rPr>
        <w:t>V. Results</w:t>
      </w:r>
    </w:p>
    <w:p>
      <w:pPr>
        <w:jc w:val="both"/>
      </w:pPr>
      <w:r>
        <w:rPr>
          <w:rFonts w:ascii="Times New Roman" w:hAnsi="Times New Roman"/>
          <w:sz w:val="20"/>
        </w:rPr>
        <w:t>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computation.Evaluation against a 1,116-image hold-out validation set demonstrated immediate convergence. Precision scaled sharply to 86.4%, validating that the SIGReg mathematics mapped distinct counterfeit anomalies linearly avoiding cluster overlap. However, the 1-epoch truncated inference run resulted in a high false-negative span (Recall 38.4%), indicating the requirement for heavier sequential computation.</w:t>
      </w:r>
    </w:p>
    <w:p>
      <w:pPr>
        <w:pStyle w:val="Heading1"/>
        <w:jc w:val="left"/>
      </w:pPr>
      <w:r>
        <w:rPr>
          <w:rFonts w:ascii="Times New Roman" w:hAnsi="Times New Roman"/>
        </w:rPr>
        <w:t>VI. Conclusion</w:t>
      </w:r>
    </w:p>
    <w:p>
      <w:pPr>
        <w:jc w:val="both"/>
      </w:pPr>
      <w:r>
        <w:rPr>
          <w:rFonts w:ascii="Times New Roman" w:hAnsi="Times New Roman"/>
          <w:sz w:val="20"/>
        </w:rPr>
        <w:t>The implementation successfully achieved an entirely functional full-stack SSL application pipeline. Future parameters target scaling the ViT-Tiny logic natively towards GPU pipelines and executing 50+ epoch runs heavily modifying testing layouts.</w:t>
      </w:r>
    </w:p>
    <w:p>
      <w:pPr>
        <w:pStyle w:val="Heading1"/>
        <w:jc w:val="left"/>
      </w:pPr>
      <w:r>
        <w:rPr>
          <w:rFonts w:ascii="Times New Roman" w:hAnsi="Times New Roman"/>
        </w:rPr>
        <w:t>References</w:t>
      </w:r>
    </w:p>
    <w:p>
      <w:pPr>
        <w:jc w:val="both"/>
      </w:pPr>
      <w:r>
        <w:rPr>
          <w:rFonts w:ascii="Times New Roman" w:hAnsi="Times New Roman"/>
          <w:sz w:val="20"/>
        </w:rPr>
        <w:t>[1] Balestriero, R., &amp; LeCun, Y. (2025). LeJEPA: SSL without hacks.</w:t>
      </w:r>
    </w:p>
    <w:p>
      <w:pPr>
        <w:jc w:val="both"/>
      </w:pPr>
      <w:r>
        <w:rPr>
          <w:rFonts w:ascii="Times New Roman" w:hAnsi="Times New Roman"/>
          <w:sz w:val="20"/>
        </w:rPr>
        <w:t>[2] Dosovitskiy, A., et al. (2020). An Image is Worth 16x16 Words: Transformers for Image Recognition at Scale.</w:t>
      </w:r>
    </w:p>
    <w:p>
      <w:pPr>
        <w:jc w:val="both"/>
      </w:pPr>
      <w:r>
        <w:rPr>
          <w:rFonts w:ascii="Times New Roman" w:hAnsi="Times New Roman"/>
          <w:sz w:val="20"/>
        </w:rPr>
        <w:t>[3] FastAPI Framework, MySQL documentation.</w:t>
      </w:r>
    </w:p>
    <w:sectPr w:rsidR="00FC693F" w:rsidRPr="0006063C" w:rsidSect="00034616">
      <w:type w:val="continuous"/>
      <w:pgSz w:w="11909" w:h="16834"/>
      <w:pgMar w:top="1080" w:right="1080" w:bottom="1080" w:left="108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