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A8B" w:rsidRDefault="00871C17">
      <w:pPr>
        <w:pStyle w:val="Text"/>
        <w:ind w:firstLine="0"/>
      </w:pPr>
      <w:r>
        <w:rPr>
          <w:rStyle w:val="Footnoteanchor"/>
        </w:rPr>
        <w:footnoteReference w:customMarkFollows="1" w:id="1"/>
        <w:t></w:t>
      </w:r>
    </w:p>
    <w:p w:rsidR="001F6A8B" w:rsidRDefault="00871C17">
      <w:pPr>
        <w:pStyle w:val="Abstract"/>
      </w:pPr>
      <w:r>
        <w:rPr>
          <w:i/>
          <w:iCs/>
        </w:rPr>
        <w:t>Abstract</w:t>
      </w:r>
      <w:r>
        <w:t xml:space="preserve">—This paper </w:t>
      </w:r>
      <w:r w:rsidR="00E74006">
        <w:t>describes</w:t>
      </w:r>
      <w:r>
        <w:t xml:space="preserve"> </w:t>
      </w:r>
      <w:r w:rsidR="00E74006">
        <w:t>an application that converts raster images to vector images</w:t>
      </w:r>
      <w:r w:rsidR="00C0716C">
        <w:t xml:space="preserve"> (vectorization)</w:t>
      </w:r>
      <w:r>
        <w:t xml:space="preserve">. </w:t>
      </w:r>
      <w:r w:rsidR="00E74006">
        <w:t xml:space="preserve"> The application is capable of extracting polygons as well as c</w:t>
      </w:r>
      <w:r w:rsidR="00101375">
        <w:t xml:space="preserve">urved shapes from color images. It can then save this data in the </w:t>
      </w:r>
      <w:r w:rsidR="00101375" w:rsidRPr="00101375">
        <w:t xml:space="preserve">Scalable Vector Graphics </w:t>
      </w:r>
      <w:r w:rsidR="00101375">
        <w:t xml:space="preserve">(SVG) format. Region tracing and cubic Bezier fitting are the main techniques employed to achieve the conversion. </w:t>
      </w:r>
    </w:p>
    <w:p w:rsidR="00E52854" w:rsidRDefault="00E52854" w:rsidP="00E52854">
      <w:pPr>
        <w:pStyle w:val="IndexTerms"/>
        <w:spacing w:after="0"/>
        <w:rPr>
          <w:i/>
          <w:iCs/>
        </w:rPr>
      </w:pPr>
    </w:p>
    <w:p w:rsidR="001F6A8B" w:rsidRDefault="00871C17" w:rsidP="00E74006">
      <w:pPr>
        <w:pStyle w:val="IndexTerms"/>
        <w:jc w:val="left"/>
      </w:pPr>
      <w:r>
        <w:rPr>
          <w:i/>
          <w:iCs/>
        </w:rPr>
        <w:t>Terms</w:t>
      </w:r>
      <w:r>
        <w:t>—</w:t>
      </w:r>
      <w:r w:rsidR="00E52854">
        <w:t>Image processing</w:t>
      </w:r>
      <w:r>
        <w:t>,</w:t>
      </w:r>
      <w:r w:rsidR="00E52854">
        <w:t xml:space="preserve"> image decomposition,</w:t>
      </w:r>
      <w:r w:rsidR="00E74006">
        <w:t xml:space="preserve"> vectorization, curve fitting</w:t>
      </w:r>
      <w:r w:rsidR="00E52854">
        <w:t xml:space="preserve"> </w:t>
      </w:r>
      <w:hyperlink r:id="rId8">
        <w:r>
          <w:rPr>
            <w:rStyle w:val="InternetLink"/>
            <w:szCs w:val="20"/>
          </w:rPr>
          <w:t>http://www.ieee.org/organizations/pubs/ani_prod/keywrd98.txt</w:t>
        </w:r>
      </w:hyperlink>
    </w:p>
    <w:p w:rsidR="001F6A8B" w:rsidRDefault="00871C17">
      <w:pPr>
        <w:pStyle w:val="Heading1"/>
        <w:numPr>
          <w:ilvl w:val="0"/>
          <w:numId w:val="2"/>
        </w:numPr>
      </w:pPr>
      <w:bookmarkStart w:id="0" w:name="PointTmp1"/>
      <w:bookmarkEnd w:id="0"/>
      <w:r>
        <w:t>I</w:t>
      </w:r>
      <w:r>
        <w:rPr>
          <w:sz w:val="16"/>
          <w:szCs w:val="16"/>
        </w:rPr>
        <w:t>NTRODUCTION</w:t>
      </w:r>
    </w:p>
    <w:p w:rsidR="00101375" w:rsidRDefault="00C840C8" w:rsidP="00101375">
      <w:pPr>
        <w:pStyle w:val="Abstract"/>
        <w:ind w:firstLine="0"/>
        <w:rPr>
          <w:b w:val="0"/>
          <w:sz w:val="20"/>
          <w:szCs w:val="20"/>
        </w:rPr>
      </w:pPr>
      <w:r>
        <w:rPr>
          <w:b w:val="0"/>
          <w:sz w:val="20"/>
          <w:szCs w:val="20"/>
        </w:rPr>
        <w:t>Vector graphics use</w:t>
      </w:r>
      <w:r w:rsidR="00101375" w:rsidRPr="00101375">
        <w:rPr>
          <w:b w:val="0"/>
          <w:sz w:val="20"/>
          <w:szCs w:val="20"/>
        </w:rPr>
        <w:t xml:space="preserve"> geometrical primitives based on mathematical equations to represent images. Since vector graphics construct displayed images from a mathematical model, it is possible to render the model at any zoom level without </w:t>
      </w:r>
      <w:r w:rsidR="001852AE">
        <w:rPr>
          <w:b w:val="0"/>
          <w:sz w:val="20"/>
          <w:szCs w:val="20"/>
        </w:rPr>
        <w:t xml:space="preserve">causing </w:t>
      </w:r>
      <w:r w:rsidR="00C0716C">
        <w:rPr>
          <w:b w:val="0"/>
          <w:sz w:val="20"/>
          <w:szCs w:val="20"/>
        </w:rPr>
        <w:t>pixilation</w:t>
      </w:r>
      <w:r w:rsidR="00101375" w:rsidRPr="00101375">
        <w:rPr>
          <w:b w:val="0"/>
          <w:sz w:val="20"/>
          <w:szCs w:val="20"/>
        </w:rPr>
        <w:t>.</w:t>
      </w:r>
      <w:r w:rsidR="00101375">
        <w:rPr>
          <w:b w:val="0"/>
          <w:sz w:val="20"/>
          <w:szCs w:val="20"/>
        </w:rPr>
        <w:t xml:space="preserve"> Vector formats are frequently used for images that are meant to appear on a variety of mediums and at different sizes.</w:t>
      </w:r>
      <w:r w:rsidR="00253F4D">
        <w:rPr>
          <w:b w:val="0"/>
          <w:sz w:val="20"/>
          <w:szCs w:val="20"/>
        </w:rPr>
        <w:t xml:space="preserve"> Vector formats are also useful because they provide a compressed representation of their raster counterparts. </w:t>
      </w:r>
    </w:p>
    <w:p w:rsidR="00101375" w:rsidRPr="00101375" w:rsidRDefault="00101375" w:rsidP="00101375">
      <w:pPr>
        <w:pStyle w:val="Abstract"/>
        <w:ind w:firstLine="0"/>
        <w:rPr>
          <w:b w:val="0"/>
          <w:sz w:val="20"/>
          <w:szCs w:val="20"/>
        </w:rPr>
      </w:pPr>
    </w:p>
    <w:p w:rsidR="001F6A8B" w:rsidRDefault="00101375" w:rsidP="001852AE">
      <w:pPr>
        <w:pStyle w:val="Text"/>
        <w:ind w:firstLine="0"/>
      </w:pPr>
      <w:r>
        <w:t>This</w:t>
      </w:r>
      <w:r w:rsidR="00871C17">
        <w:t xml:space="preserve"> document </w:t>
      </w:r>
      <w:r>
        <w:t>presents the process used by a vectorization application that has been developed in MATLAB</w:t>
      </w:r>
      <w:r w:rsidR="001852AE">
        <w:t>, utilizing the Image Processing Toolbox</w:t>
      </w:r>
      <w:r w:rsidR="00871C17">
        <w:t xml:space="preserve">. </w:t>
      </w:r>
      <w:r w:rsidR="00871C17">
        <w:t>The implementat</w:t>
      </w:r>
      <w:r w:rsidR="00871C17">
        <w:t>ion c</w:t>
      </w:r>
      <w:r w:rsidR="001852AE">
        <w:t>onsists of a GUI to load images</w:t>
      </w:r>
      <w:r w:rsidR="00871C17">
        <w:t xml:space="preserve"> and user controlled vectorization </w:t>
      </w:r>
      <w:r w:rsidR="001852AE">
        <w:t>parameters</w:t>
      </w:r>
      <w:r w:rsidR="00871C17">
        <w:t xml:space="preserve">. </w:t>
      </w:r>
    </w:p>
    <w:p w:rsidR="001F6A8B" w:rsidRDefault="00871C17">
      <w:pPr>
        <w:pStyle w:val="Heading1"/>
        <w:numPr>
          <w:ilvl w:val="0"/>
          <w:numId w:val="2"/>
        </w:numPr>
      </w:pPr>
      <w:r>
        <w:t>Polygon Detection</w:t>
      </w:r>
    </w:p>
    <w:p w:rsidR="00293324" w:rsidRDefault="00C840C8">
      <w:r>
        <w:t xml:space="preserve">Polygons are identified in the image using the process of color reduction, median filtering and </w:t>
      </w:r>
      <w:r w:rsidR="00286E25">
        <w:t xml:space="preserve">region tracing. </w:t>
      </w:r>
    </w:p>
    <w:p w:rsidR="00C840C8" w:rsidRDefault="00286E25">
      <w:r>
        <w:t xml:space="preserve">The number of colors in the input image is first reduced to a low number. This number is usually between 2 and 20. Vector images normally contain a low number of colors. Vector formats are generally not useful for representing images with a high number of colors, unless the colors can be simply described by a </w:t>
      </w:r>
      <w:r w:rsidR="00293324">
        <w:t>mathematical model</w:t>
      </w:r>
      <w:r>
        <w:t xml:space="preserve">. This vectorization implementation is only concerned with </w:t>
      </w:r>
      <w:r w:rsidR="00293324">
        <w:t>the extraction of uniformly colored shapes. After color reduction, a median filter is applied to the resultant image, in order to remove small colored regions. The image is then separated into several binary images- one for each color.</w:t>
      </w:r>
    </w:p>
    <w:p w:rsidR="00293324" w:rsidRDefault="00293324">
      <w:r>
        <w:t xml:space="preserve">Region tracing is then performed on the binary images, giving one-dimensional arrays of co-ordinates that outline each shape. This data can then be sampled at different frequencies, to obtain the vertices that can be used to represent the image as a set of colored polygons. The optimal percentage of </w:t>
      </w:r>
      <w:r w:rsidR="007F5ECD">
        <w:t>positions sampled</w:t>
      </w:r>
      <w:r>
        <w:t xml:space="preserve"> highly depends on the resolution and complexity of the original image.</w:t>
      </w:r>
      <w:r w:rsidR="007F5ECD">
        <w:t xml:space="preserve"> If the sampling frequency is too low, the polygon will become distorted, and if the sampling frequency is too high, the non-idealities of the image will be captured by the polygon (such as the shape of the pixels themselves). The percentage of trace points used as polygon vertices can be specified by the user of the application, and the optimal percentage can be easily found through trial and error.</w:t>
      </w:r>
    </w:p>
    <w:p w:rsidR="00293324" w:rsidRDefault="00293324">
      <w:r>
        <w:t>+Corners</w:t>
      </w:r>
    </w:p>
    <w:p w:rsidR="007F5ECD" w:rsidRDefault="007F5ECD" w:rsidP="007F5ECD">
      <w:pPr>
        <w:pStyle w:val="Heading1"/>
        <w:numPr>
          <w:ilvl w:val="0"/>
          <w:numId w:val="2"/>
        </w:numPr>
      </w:pPr>
      <w:r>
        <w:t>Curve Fitting</w:t>
      </w:r>
    </w:p>
    <w:p w:rsidR="007F5ECD" w:rsidRPr="007F5ECD" w:rsidRDefault="007F5ECD" w:rsidP="007F5ECD">
      <w:pPr>
        <w:pStyle w:val="Textbody"/>
      </w:pPr>
      <w:r>
        <w:t>Polygon extraction alone works well on images composed of straight lines, but works poorly on images that contain curves. Cubic Bezier curve fitting works well to approximate curved traces.</w:t>
      </w:r>
      <w:r w:rsidR="00800657">
        <w:t xml:space="preserve"> If the user selects the </w:t>
      </w:r>
      <w:r w:rsidR="00800657">
        <w:lastRenderedPageBreak/>
        <w:t>curve fitting mode, the region tracing data from the previous step is sampled</w:t>
      </w:r>
      <w:r w:rsidR="00DE2C69">
        <w:t>…</w:t>
      </w:r>
      <w:bookmarkStart w:id="1" w:name="_GoBack"/>
      <w:bookmarkEnd w:id="1"/>
    </w:p>
    <w:p w:rsidR="00C840C8" w:rsidRDefault="00C840C8"/>
    <w:p w:rsidR="001F6A8B" w:rsidRDefault="00871C17">
      <w:pPr>
        <w:pStyle w:val="Heading1"/>
        <w:numPr>
          <w:ilvl w:val="0"/>
          <w:numId w:val="2"/>
        </w:numPr>
      </w:pPr>
      <w:r>
        <w:t>Line Detection</w:t>
      </w:r>
    </w:p>
    <w:p w:rsidR="001F6A8B" w:rsidRDefault="00871C17">
      <w:pPr>
        <w:pStyle w:val="Heading2"/>
        <w:numPr>
          <w:ilvl w:val="1"/>
          <w:numId w:val="2"/>
        </w:numPr>
        <w:ind w:left="144"/>
      </w:pPr>
      <w:r>
        <w:rPr>
          <w:sz w:val="16"/>
          <w:szCs w:val="16"/>
        </w:rPr>
        <w:t>Hough</w:t>
      </w:r>
    </w:p>
    <w:p w:rsidR="001F6A8B" w:rsidRDefault="00871C17">
      <w:pPr>
        <w:pStyle w:val="Text"/>
      </w:pPr>
      <w:r>
        <w:t>One method of line de</w:t>
      </w:r>
      <w:r>
        <w:t xml:space="preserve">tection considered is the Hough Transform Method.  This method is utilized after the original image has been converted to grayscale and canny edged detection has been applied (converts image to binary). There are three parts to the Hough Transform Method: </w:t>
      </w:r>
      <w:r>
        <w:t>Standard Hough Transform (SHT), Hough Peaks and Hough Lines.</w:t>
      </w:r>
    </w:p>
    <w:p w:rsidR="001F6A8B" w:rsidRDefault="00871C17">
      <w:pPr>
        <w:pStyle w:val="Text"/>
      </w:pPr>
      <w:r>
        <w:t>SHT      computes?. Hough Peaks locates peaks in the Hough Transform Matrix [#</w:t>
      </w:r>
      <w:hyperlink r:id="rId9">
        <w:r>
          <w:rPr>
            <w:rStyle w:val="InternetLink"/>
          </w:rPr>
          <w:t>http://www.mathworks.com/help/too</w:t>
        </w:r>
        <w:r>
          <w:rPr>
            <w:rStyle w:val="InternetLink"/>
          </w:rPr>
          <w:t>lbox/images/ref/houghpeaks.html</w:t>
        </w:r>
      </w:hyperlink>
      <w:r>
        <w:t>] [#</w:t>
      </w:r>
      <w:hyperlink r:id="rId10">
        <w:r>
          <w:rPr>
            <w:rStyle w:val="InternetLink"/>
          </w:rPr>
          <w:t>http://mathworld.wolfram.com/HoughTransform.html</w:t>
        </w:r>
      </w:hyperlink>
      <w:r>
        <w:t>].</w:t>
      </w:r>
    </w:p>
    <w:p w:rsidR="001F6A8B" w:rsidRDefault="001F6A8B">
      <w:pPr>
        <w:pStyle w:val="Text"/>
      </w:pPr>
    </w:p>
    <w:p w:rsidR="001F6A8B" w:rsidRDefault="001F6A8B">
      <w:pPr>
        <w:pStyle w:val="Text"/>
      </w:pPr>
    </w:p>
    <w:p w:rsidR="001F6A8B" w:rsidRDefault="001F6A8B"/>
    <w:p w:rsidR="001F6A8B" w:rsidRDefault="00871C17">
      <w:pPr>
        <w:pStyle w:val="Heading1"/>
        <w:numPr>
          <w:ilvl w:val="0"/>
          <w:numId w:val="2"/>
        </w:numPr>
      </w:pPr>
      <w:r>
        <w:t>SVG Output</w:t>
      </w:r>
    </w:p>
    <w:p w:rsidR="001F6A8B" w:rsidRDefault="00871C17">
      <w:pPr>
        <w:pStyle w:val="Textbody"/>
      </w:pPr>
      <w:r>
        <w:t>This allows exporting of the vectorized images. Using SVG 1.1 standard which is based on</w:t>
      </w:r>
      <w:r>
        <w:t xml:space="preserve"> the XML ?.  To narrow the scope  only polygons and cubic bezier curves are output. Parameters such as color is also set. The user is prompted upon execution for the filename and path. [#</w:t>
      </w:r>
      <w:hyperlink r:id="rId11">
        <w:r>
          <w:rPr>
            <w:rStyle w:val="InternetLink"/>
          </w:rPr>
          <w:t>http://www.w3.org/</w:t>
        </w:r>
        <w:r>
          <w:rPr>
            <w:rStyle w:val="InternetLink"/>
          </w:rPr>
          <w:t>Graphics/SVG/</w:t>
        </w:r>
      </w:hyperlink>
      <w:r>
        <w:t>]</w:t>
      </w:r>
    </w:p>
    <w:p w:rsidR="001F6A8B" w:rsidRDefault="001F6A8B">
      <w:pPr>
        <w:pStyle w:val="Textbody"/>
      </w:pPr>
    </w:p>
    <w:p w:rsidR="001F6A8B" w:rsidRDefault="001F6A8B">
      <w:pPr>
        <w:pStyle w:val="Text"/>
        <w:ind w:firstLine="0"/>
      </w:pPr>
    </w:p>
    <w:p w:rsidR="001F6A8B" w:rsidRDefault="00871C17">
      <w:pPr>
        <w:pStyle w:val="Heading1"/>
        <w:numPr>
          <w:ilvl w:val="0"/>
          <w:numId w:val="2"/>
        </w:numPr>
      </w:pPr>
      <w:r>
        <w:t>Conclusion</w:t>
      </w:r>
    </w:p>
    <w:p w:rsidR="001F6A8B" w:rsidRDefault="00871C17">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1F6A8B" w:rsidRDefault="00871C17">
      <w:pPr>
        <w:pStyle w:val="ReferenceHead"/>
      </w:pPr>
      <w:r>
        <w:t>Append</w:t>
      </w:r>
      <w:r>
        <w:t>ix</w:t>
      </w:r>
    </w:p>
    <w:p w:rsidR="001F6A8B" w:rsidRDefault="00871C17">
      <w:pPr>
        <w:pStyle w:val="Text"/>
      </w:pPr>
      <w:r>
        <w:t xml:space="preserve">Appendixes, if needed, appear before the </w:t>
      </w:r>
      <w:r>
        <w:lastRenderedPageBreak/>
        <w:t>acknowledgment.</w:t>
      </w:r>
    </w:p>
    <w:p w:rsidR="001F6A8B" w:rsidRDefault="00871C17">
      <w:pPr>
        <w:pStyle w:val="ReferenceHead"/>
      </w:pPr>
      <w:r>
        <w:t>Acknowledgment</w:t>
      </w:r>
    </w:p>
    <w:p w:rsidR="001F6A8B" w:rsidRDefault="00871C17">
      <w:pPr>
        <w:pStyle w:val="Text"/>
      </w:pPr>
      <w:r>
        <w:t>The preferred spelling of the word “acknowledgment” in American English is without an “e” after the “g.” Use the singular heading even if you have many acknowledgments. Avoid expres</w:t>
      </w:r>
      <w:r>
        <w:t xml:space="preserve">sions such as “One of us (S.B.A.) would like to thank ... .” Instead, write “F. A. Author thanks ... .” </w:t>
      </w:r>
      <w:r>
        <w:rPr>
          <w:b/>
          <w:bCs/>
        </w:rPr>
        <w:t>Sponsor and financial support acknowledgments are placed in the unnumbered footnote on the first page, not here.</w:t>
      </w:r>
    </w:p>
    <w:p w:rsidR="001F6A8B" w:rsidRDefault="00871C17">
      <w:pPr>
        <w:pStyle w:val="ReferenceHead"/>
      </w:pPr>
      <w:r>
        <w:t>References</w:t>
      </w:r>
    </w:p>
    <w:p w:rsidR="001F6A8B" w:rsidRDefault="00871C17">
      <w:pPr>
        <w:numPr>
          <w:ilvl w:val="0"/>
          <w:numId w:val="3"/>
        </w:numPr>
      </w:pPr>
      <w:r>
        <w:rPr>
          <w:sz w:val="16"/>
          <w:szCs w:val="16"/>
        </w:rPr>
        <w:t>G. O. Young, “Synthetic stru</w:t>
      </w:r>
      <w:r>
        <w:rPr>
          <w:sz w:val="16"/>
          <w:szCs w:val="16"/>
        </w:rPr>
        <w:t xml:space="preserve">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rsidR="001F6A8B" w:rsidRDefault="00871C17">
      <w:pPr>
        <w:numPr>
          <w:ilvl w:val="0"/>
          <w:numId w:val="3"/>
        </w:num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rsidR="001F6A8B" w:rsidRDefault="00871C17">
      <w:pPr>
        <w:numPr>
          <w:ilvl w:val="0"/>
          <w:numId w:val="3"/>
        </w:numPr>
      </w:pPr>
      <w:r>
        <w:rPr>
          <w:sz w:val="16"/>
          <w:szCs w:val="16"/>
        </w:rPr>
        <w:t xml:space="preserve">H. Poor, </w:t>
      </w:r>
      <w:r>
        <w:rPr>
          <w:i/>
          <w:iCs/>
          <w:sz w:val="16"/>
          <w:szCs w:val="16"/>
        </w:rPr>
        <w:t>An Introduction to Signal Detection and Estimation</w:t>
      </w:r>
      <w:r>
        <w:rPr>
          <w:sz w:val="16"/>
          <w:szCs w:val="16"/>
        </w:rPr>
        <w:t>.   New York: Springer-Verlag, 1985, ch. 4.</w:t>
      </w:r>
    </w:p>
    <w:p w:rsidR="001F6A8B" w:rsidRDefault="00871C17">
      <w:pPr>
        <w:pStyle w:val="References"/>
        <w:numPr>
          <w:ilvl w:val="0"/>
          <w:numId w:val="3"/>
        </w:numPr>
      </w:pPr>
      <w:r>
        <w:t>B. Smith, “An approach to graphs of linear forms (Unpublished work style),” unpublished.</w:t>
      </w:r>
    </w:p>
    <w:p w:rsidR="001F6A8B" w:rsidRDefault="00871C17">
      <w:pPr>
        <w:numPr>
          <w:ilvl w:val="0"/>
          <w:numId w:val="3"/>
        </w:numPr>
      </w:pPr>
      <w:r>
        <w:rPr>
          <w:sz w:val="16"/>
          <w:szCs w:val="16"/>
        </w:rPr>
        <w:t>E. H. Miller, “A note on reflector arrays (Periodical style—Acce</w:t>
      </w:r>
      <w:r>
        <w:rPr>
          <w:sz w:val="16"/>
          <w:szCs w:val="16"/>
        </w:rPr>
        <w:t xml:space="preserve">pted for publication),” </w:t>
      </w:r>
      <w:r>
        <w:rPr>
          <w:i/>
          <w:iCs/>
          <w:sz w:val="16"/>
          <w:szCs w:val="16"/>
        </w:rPr>
        <w:t>IEEE Trans. Antennas Propagat.</w:t>
      </w:r>
      <w:r>
        <w:rPr>
          <w:sz w:val="16"/>
          <w:szCs w:val="16"/>
        </w:rPr>
        <w:t>, to be published.</w:t>
      </w:r>
    </w:p>
    <w:p w:rsidR="001F6A8B" w:rsidRDefault="00871C17">
      <w:pPr>
        <w:numPr>
          <w:ilvl w:val="0"/>
          <w:numId w:val="3"/>
        </w:numPr>
      </w:pPr>
      <w:r>
        <w:rPr>
          <w:sz w:val="16"/>
          <w:szCs w:val="16"/>
        </w:rPr>
        <w:t xml:space="preserve">J. Wang, “Fundamentals of erbium-doped fiber amplifiers arrays (Periodical style—Submitted for publication),” </w:t>
      </w:r>
      <w:r>
        <w:rPr>
          <w:i/>
          <w:iCs/>
          <w:sz w:val="16"/>
          <w:szCs w:val="16"/>
        </w:rPr>
        <w:t>IEEE J. Quantum Electron.</w:t>
      </w:r>
      <w:r>
        <w:rPr>
          <w:sz w:val="16"/>
          <w:szCs w:val="16"/>
        </w:rPr>
        <w:t>, submitted for publication.</w:t>
      </w:r>
    </w:p>
    <w:p w:rsidR="001F6A8B" w:rsidRDefault="00871C17">
      <w:pPr>
        <w:pStyle w:val="References"/>
        <w:numPr>
          <w:ilvl w:val="0"/>
          <w:numId w:val="3"/>
        </w:numPr>
      </w:pPr>
      <w:r>
        <w:t>C. J. Kaufman, Rock</w:t>
      </w:r>
      <w:r>
        <w:t>y Mountain Research Lab., Boulder, CO, private communication, May 1995.</w:t>
      </w:r>
    </w:p>
    <w:p w:rsidR="001F6A8B" w:rsidRDefault="00871C17">
      <w:pPr>
        <w:pStyle w:val="References"/>
        <w:numPr>
          <w:ilvl w:val="0"/>
          <w:numId w:val="3"/>
        </w:numPr>
      </w:pPr>
      <w:r>
        <w:t xml:space="preserve">Y. Yorozu, M. Hirano, K. Oka, and Y. Tagawa, “Electron spectroscopy studies on magneto-optical media and plastic substrate interfaces (Translation Journals style),” </w:t>
      </w:r>
      <w:r>
        <w:rPr>
          <w:i/>
          <w:iCs/>
        </w:rPr>
        <w:t>IEEE Transl. J. Mag</w:t>
      </w:r>
      <w:r>
        <w:rPr>
          <w:i/>
          <w:iCs/>
        </w:rPr>
        <w:t>n.Jpn.</w:t>
      </w:r>
      <w:r>
        <w:t>, vol. 2, Aug. 1987, pp. 740–741 [</w:t>
      </w:r>
      <w:r>
        <w:rPr>
          <w:i/>
          <w:iCs/>
        </w:rPr>
        <w:t>Dig. 9</w:t>
      </w:r>
      <w:r>
        <w:rPr>
          <w:i/>
          <w:iCs/>
          <w:vertAlign w:val="superscript"/>
        </w:rPr>
        <w:t>th</w:t>
      </w:r>
      <w:r>
        <w:rPr>
          <w:i/>
          <w:iCs/>
        </w:rPr>
        <w:t xml:space="preserve"> Annu. Conf. Magnetics</w:t>
      </w:r>
      <w:r>
        <w:t xml:space="preserve"> Japan, 1982, p. 301].</w:t>
      </w:r>
    </w:p>
    <w:p w:rsidR="001F6A8B" w:rsidRDefault="00871C17">
      <w:pPr>
        <w:pStyle w:val="References"/>
        <w:numPr>
          <w:ilvl w:val="0"/>
          <w:numId w:val="3"/>
        </w:numPr>
      </w:pPr>
      <w:r>
        <w:t xml:space="preserve">M. Young, </w:t>
      </w:r>
      <w:r>
        <w:rPr>
          <w:i/>
          <w:iCs/>
        </w:rPr>
        <w:t>The Techincal Writers Handbook.</w:t>
      </w:r>
      <w:r>
        <w:t xml:space="preserve">  Mill Valley, CA: University Science, 1989.</w:t>
      </w:r>
    </w:p>
    <w:p w:rsidR="001F6A8B" w:rsidRDefault="00871C17">
      <w:pPr>
        <w:numPr>
          <w:ilvl w:val="0"/>
          <w:numId w:val="3"/>
        </w:numPr>
      </w:pPr>
      <w:r>
        <w:rPr>
          <w:sz w:val="16"/>
          <w:szCs w:val="16"/>
        </w:rPr>
        <w:t>J. U. Duncombe, “Infrared navigation—Part I: An assessment of feasibility (Pe</w:t>
      </w:r>
      <w:r>
        <w:rPr>
          <w:sz w:val="16"/>
          <w:szCs w:val="16"/>
        </w:rPr>
        <w:t xml:space="preserve">riodical style),” </w:t>
      </w:r>
      <w:r>
        <w:rPr>
          <w:i/>
          <w:iCs/>
          <w:sz w:val="16"/>
          <w:szCs w:val="16"/>
        </w:rPr>
        <w:t>IEEE Trans. Electron Devices</w:t>
      </w:r>
      <w:r>
        <w:rPr>
          <w:sz w:val="16"/>
          <w:szCs w:val="16"/>
        </w:rPr>
        <w:t>, vol. ED-11, pp. 34–39, Jan. 1959.</w:t>
      </w:r>
    </w:p>
    <w:p w:rsidR="001F6A8B" w:rsidRDefault="00871C17">
      <w:pPr>
        <w:numPr>
          <w:ilvl w:val="0"/>
          <w:numId w:val="3"/>
        </w:numPr>
      </w:pPr>
      <w:r>
        <w:rPr>
          <w:sz w:val="16"/>
          <w:szCs w:val="16"/>
        </w:rPr>
        <w:tab/>
        <w:t xml:space="preserve">S. Chen, B. Mulgrew, and P. M. Grant, “A clustering technique for digital communications channel equalization using radial basis function networks,” </w:t>
      </w:r>
      <w:r>
        <w:rPr>
          <w:i/>
          <w:iCs/>
          <w:sz w:val="16"/>
          <w:szCs w:val="16"/>
        </w:rPr>
        <w:t>IEEE Trans. Neural Netwo</w:t>
      </w:r>
      <w:r>
        <w:rPr>
          <w:i/>
          <w:iCs/>
          <w:sz w:val="16"/>
          <w:szCs w:val="16"/>
        </w:rPr>
        <w:t>rks</w:t>
      </w:r>
      <w:r>
        <w:rPr>
          <w:sz w:val="16"/>
          <w:szCs w:val="16"/>
        </w:rPr>
        <w:t>, vol. 4, pp. 570–578, Jul. 1993.</w:t>
      </w:r>
    </w:p>
    <w:p w:rsidR="001F6A8B" w:rsidRDefault="00871C17">
      <w:pPr>
        <w:numPr>
          <w:ilvl w:val="0"/>
          <w:numId w:val="3"/>
        </w:numPr>
      </w:pPr>
      <w:r>
        <w:rPr>
          <w:sz w:val="16"/>
          <w:szCs w:val="16"/>
        </w:rPr>
        <w:lastRenderedPageBreak/>
        <w:t xml:space="preserve">R. W. Lucky, “Automatic equalization for digital communication,” </w:t>
      </w:r>
      <w:r>
        <w:rPr>
          <w:i/>
          <w:iCs/>
          <w:sz w:val="16"/>
          <w:szCs w:val="16"/>
        </w:rPr>
        <w:t>Bell Syst. Tech. J.</w:t>
      </w:r>
      <w:r>
        <w:rPr>
          <w:sz w:val="16"/>
          <w:szCs w:val="16"/>
        </w:rPr>
        <w:t>, vol. 44, no. 4, pp. 547–588, Apr. 1965.</w:t>
      </w:r>
    </w:p>
    <w:p w:rsidR="001F6A8B" w:rsidRDefault="00871C17">
      <w:pPr>
        <w:numPr>
          <w:ilvl w:val="0"/>
          <w:numId w:val="3"/>
        </w:numPr>
      </w:pPr>
      <w:r>
        <w:rPr>
          <w:sz w:val="16"/>
          <w:szCs w:val="16"/>
        </w:rPr>
        <w:t>S. P. Bingulac, “On the compatibility of adaptive controllers (Published Conference Proceedin</w:t>
      </w:r>
      <w:r>
        <w:rPr>
          <w:sz w:val="16"/>
          <w:szCs w:val="16"/>
        </w:rPr>
        <w:t xml:space="preserve">gs style),” in </w:t>
      </w:r>
      <w:r>
        <w:rPr>
          <w:i/>
          <w:iCs/>
          <w:sz w:val="16"/>
          <w:szCs w:val="16"/>
        </w:rPr>
        <w:t>Proc. 4th Annu. Allerton Conf. Circuits and Systems Theory</w:t>
      </w:r>
      <w:r>
        <w:rPr>
          <w:sz w:val="16"/>
          <w:szCs w:val="16"/>
        </w:rPr>
        <w:t>, New York, 1994, pp. 8–16.</w:t>
      </w:r>
    </w:p>
    <w:p w:rsidR="001F6A8B" w:rsidRDefault="00871C17">
      <w:pPr>
        <w:numPr>
          <w:ilvl w:val="0"/>
          <w:numId w:val="3"/>
        </w:numPr>
      </w:pPr>
      <w:r>
        <w:rPr>
          <w:sz w:val="16"/>
          <w:szCs w:val="16"/>
        </w:rPr>
        <w:t xml:space="preserve">G. R. Faulhaber, “Design of service systems with priority reservation,” in </w:t>
      </w:r>
      <w:r>
        <w:rPr>
          <w:i/>
          <w:iCs/>
          <w:sz w:val="16"/>
          <w:szCs w:val="16"/>
        </w:rPr>
        <w:t>Conf. Rec. 1995 IEEE Int. Conf. Communications,</w:t>
      </w:r>
      <w:r>
        <w:rPr>
          <w:sz w:val="16"/>
          <w:szCs w:val="16"/>
        </w:rPr>
        <w:t xml:space="preserve"> pp. 3–8.</w:t>
      </w:r>
    </w:p>
    <w:p w:rsidR="001F6A8B" w:rsidRDefault="00871C17">
      <w:pPr>
        <w:numPr>
          <w:ilvl w:val="0"/>
          <w:numId w:val="3"/>
        </w:numPr>
      </w:pPr>
      <w:r>
        <w:rPr>
          <w:sz w:val="16"/>
          <w:szCs w:val="16"/>
        </w:rPr>
        <w:t>W. D. Doyle, “Magnetiza</w:t>
      </w:r>
      <w:r>
        <w:rPr>
          <w:sz w:val="16"/>
          <w:szCs w:val="16"/>
        </w:rPr>
        <w:t xml:space="preserve">tion reversal in films with biaxial anisotropy,” in </w:t>
      </w:r>
      <w:r>
        <w:rPr>
          <w:i/>
          <w:iCs/>
          <w:sz w:val="16"/>
          <w:szCs w:val="16"/>
        </w:rPr>
        <w:t>1987 Proc. INTERMAG Conf.</w:t>
      </w:r>
      <w:r>
        <w:rPr>
          <w:sz w:val="16"/>
          <w:szCs w:val="16"/>
        </w:rPr>
        <w:t>, pp. 2.2-1–2.2-6.</w:t>
      </w:r>
    </w:p>
    <w:p w:rsidR="001F6A8B" w:rsidRDefault="00871C17">
      <w:pPr>
        <w:numPr>
          <w:ilvl w:val="0"/>
          <w:numId w:val="3"/>
        </w:numPr>
      </w:pPr>
      <w:r>
        <w:rPr>
          <w:sz w:val="16"/>
          <w:szCs w:val="16"/>
        </w:rPr>
        <w:t>G. W. Juette and L. E. Zeffanella, “Radio noise currents n short sections on bundle conductors (Presented Conference Paper style),” presented at the IEEE Summer</w:t>
      </w:r>
      <w:r>
        <w:rPr>
          <w:sz w:val="16"/>
          <w:szCs w:val="16"/>
        </w:rPr>
        <w:t xml:space="preserve"> power Meeting, Dallas, TX, Jun. 22–27, 1990, Paper 90 SM 690-0 PWRS.</w:t>
      </w:r>
    </w:p>
    <w:p w:rsidR="001F6A8B" w:rsidRDefault="00871C17">
      <w:pPr>
        <w:pStyle w:val="References"/>
        <w:numPr>
          <w:ilvl w:val="0"/>
          <w:numId w:val="3"/>
        </w:numPr>
      </w:pPr>
      <w:r>
        <w:t>J. G. Kreifeldt, “An analysis of surface-detected EMG as an amplitude-modulated noise,” presented at the 1989 Int. Conf. Medicine and Biological Engineering, Chicago, IL.</w:t>
      </w:r>
    </w:p>
    <w:p w:rsidR="001F6A8B" w:rsidRDefault="00871C17">
      <w:pPr>
        <w:pStyle w:val="References"/>
        <w:numPr>
          <w:ilvl w:val="0"/>
          <w:numId w:val="3"/>
        </w:numPr>
      </w:pPr>
      <w:r>
        <w:t>J. Williams, “N</w:t>
      </w:r>
      <w:r>
        <w:t xml:space="preserve">arrow-band analyzer (Thesis or Dissertation style),” Ph.D. dissertation, Dept. Elect. Eng., Harvard Univ., Cambridge, MA, 1993. </w:t>
      </w:r>
    </w:p>
    <w:p w:rsidR="001F6A8B" w:rsidRDefault="00871C17">
      <w:pPr>
        <w:pStyle w:val="References"/>
        <w:numPr>
          <w:ilvl w:val="0"/>
          <w:numId w:val="3"/>
        </w:numPr>
      </w:pPr>
      <w:r>
        <w:t>N. Kawasaki, “Parametric study of thermal and chemical nonequilibrium nozzle flow,” M.S. thesis, Dept. Electron. Eng., Osaka Un</w:t>
      </w:r>
      <w:r>
        <w:t>iv., Osaka, Japan, 1993.</w:t>
      </w:r>
    </w:p>
    <w:p w:rsidR="001F6A8B" w:rsidRDefault="00871C17">
      <w:pPr>
        <w:pStyle w:val="References"/>
        <w:numPr>
          <w:ilvl w:val="0"/>
          <w:numId w:val="3"/>
        </w:numPr>
      </w:pPr>
      <w:r>
        <w:t xml:space="preserve">J. P. Wilkinson, “Nonlinear resonant circuit devices (Patent style),” U.S. Patent 3 624 12, July 16, 1990. </w:t>
      </w:r>
    </w:p>
    <w:p w:rsidR="001F6A8B" w:rsidRDefault="00871C17">
      <w:pPr>
        <w:pStyle w:val="References"/>
        <w:numPr>
          <w:ilvl w:val="0"/>
          <w:numId w:val="3"/>
        </w:numPr>
      </w:pPr>
      <w:r>
        <w:rPr>
          <w:i/>
          <w:iCs/>
        </w:rPr>
        <w:t xml:space="preserve">IEEE Criteria for Class IE Electric Systems </w:t>
      </w:r>
      <w:r>
        <w:t>(Standards style)</w:t>
      </w:r>
      <w:r>
        <w:rPr>
          <w:i/>
          <w:iCs/>
        </w:rPr>
        <w:t>,</w:t>
      </w:r>
      <w:r>
        <w:t xml:space="preserve"> IEEE Standard 308, 1969.</w:t>
      </w:r>
    </w:p>
    <w:p w:rsidR="001F6A8B" w:rsidRDefault="00871C17">
      <w:pPr>
        <w:pStyle w:val="References"/>
        <w:numPr>
          <w:ilvl w:val="0"/>
          <w:numId w:val="3"/>
        </w:numPr>
      </w:pPr>
      <w:r>
        <w:rPr>
          <w:i/>
          <w:iCs/>
        </w:rPr>
        <w:t>Letter Symbols for Quantities</w:t>
      </w:r>
      <w:r>
        <w:t>, ANSI</w:t>
      </w:r>
      <w:r>
        <w:t xml:space="preserve"> Standard Y10.5-1968.</w:t>
      </w:r>
    </w:p>
    <w:p w:rsidR="001F6A8B" w:rsidRDefault="00871C17">
      <w:pPr>
        <w:pStyle w:val="References"/>
        <w:numPr>
          <w:ilvl w:val="0"/>
          <w:numId w:val="3"/>
        </w:numPr>
      </w:pPr>
      <w:r>
        <w:t>R. E. Haskell and C. T. Case, “Transient signal propagation in lossless isotropic plasmas (Report style),” USAF Cambridge Res. Lab., Cambridge, MA Rep. ARCRL-66-234 (II), 1994, vol. 2.</w:t>
      </w:r>
    </w:p>
    <w:p w:rsidR="001F6A8B" w:rsidRDefault="00871C17">
      <w:pPr>
        <w:pStyle w:val="References"/>
        <w:numPr>
          <w:ilvl w:val="0"/>
          <w:numId w:val="3"/>
        </w:numPr>
      </w:pPr>
      <w:r>
        <w:t xml:space="preserve">E. E. Reber, R. L. Michell, and C. J. Carter, </w:t>
      </w:r>
      <w:r>
        <w:t>“Oxygen absorption in the Earth’s atmosphere,” Aerospace Corp., Los Angeles, CA, Tech. Rep. TR-0200 (420-46)-3, Nov. 1988.</w:t>
      </w:r>
    </w:p>
    <w:p w:rsidR="001F6A8B" w:rsidRDefault="00871C17">
      <w:pPr>
        <w:pStyle w:val="References"/>
        <w:numPr>
          <w:ilvl w:val="0"/>
          <w:numId w:val="3"/>
        </w:numPr>
      </w:pPr>
      <w:r>
        <w:t xml:space="preserve">(Handbook style) </w:t>
      </w:r>
      <w:r>
        <w:rPr>
          <w:i/>
          <w:iCs/>
        </w:rPr>
        <w:t>Transmission Systems for Communications,</w:t>
      </w:r>
      <w:r>
        <w:t xml:space="preserve"> 3rd ed., Western Electric Co., Winston-Salem, NC, 1985, pp. 44–60.</w:t>
      </w:r>
    </w:p>
    <w:p w:rsidR="001F6A8B" w:rsidRDefault="00871C17">
      <w:pPr>
        <w:pStyle w:val="References"/>
        <w:numPr>
          <w:ilvl w:val="0"/>
          <w:numId w:val="3"/>
        </w:numPr>
      </w:pPr>
      <w:r>
        <w:tab/>
      </w:r>
      <w:r>
        <w:rPr>
          <w:i/>
          <w:iCs/>
        </w:rPr>
        <w:t>Motorol</w:t>
      </w:r>
      <w:r>
        <w:rPr>
          <w:i/>
          <w:iCs/>
        </w:rPr>
        <w:t>a Semiconductor Data Manual,</w:t>
      </w:r>
      <w:r>
        <w:t xml:space="preserve"> Motorola Semiconductor Products Inc., Phoenix, AZ, 1989.</w:t>
      </w:r>
    </w:p>
    <w:p w:rsidR="001F6A8B" w:rsidRDefault="00871C17">
      <w:pPr>
        <w:pStyle w:val="References"/>
        <w:numPr>
          <w:ilvl w:val="0"/>
          <w:numId w:val="3"/>
        </w:numPr>
      </w:pPr>
      <w:r>
        <w:t xml:space="preserve">(Basic Book/Monograph Online Sources) J. K. Author. (year, month, day). </w:t>
      </w:r>
      <w:r>
        <w:rPr>
          <w:i/>
          <w:iCs/>
        </w:rPr>
        <w:t>Title</w:t>
      </w:r>
      <w:r>
        <w:t xml:space="preserve"> (edition) [Type of medium]. Volume (issue).</w:t>
      </w:r>
      <w:r>
        <w:tab/>
        <w:t xml:space="preserve"> Available: </w:t>
      </w:r>
      <w:r>
        <w:rPr>
          <w:rStyle w:val="InternetLink"/>
        </w:rPr>
        <w:t>http://www.(URL</w:t>
      </w:r>
      <w:r>
        <w:t>)</w:t>
      </w:r>
    </w:p>
    <w:p w:rsidR="001F6A8B" w:rsidRDefault="00871C17">
      <w:pPr>
        <w:pStyle w:val="References"/>
        <w:numPr>
          <w:ilvl w:val="0"/>
          <w:numId w:val="3"/>
        </w:numPr>
      </w:pPr>
      <w:r>
        <w:lastRenderedPageBreak/>
        <w:t>J. Jones. (1991, Ma</w:t>
      </w:r>
      <w:r>
        <w:t xml:space="preserve">y 10). Networks (2nd ed.) [Online]. Available: </w:t>
      </w:r>
      <w:hyperlink r:id="rId12">
        <w:r>
          <w:rPr>
            <w:rStyle w:val="InternetLink"/>
          </w:rPr>
          <w:t>http://www.atm.com</w:t>
        </w:r>
      </w:hyperlink>
    </w:p>
    <w:p w:rsidR="001F6A8B" w:rsidRDefault="00871C17">
      <w:pPr>
        <w:pStyle w:val="References"/>
        <w:numPr>
          <w:ilvl w:val="0"/>
          <w:numId w:val="3"/>
        </w:numPr>
      </w:pPr>
      <w:r>
        <w:t xml:space="preserve">(Journal Online Sources style) K. Author. (year, month). Title. </w:t>
      </w:r>
      <w:r>
        <w:rPr>
          <w:i/>
          <w:iCs/>
        </w:rPr>
        <w:t>Journal</w:t>
      </w:r>
      <w:r>
        <w:t xml:space="preserve"> [Type of medium]. Volume(issue), paging if given.</w:t>
      </w:r>
      <w:r>
        <w:tab/>
        <w:t xml:space="preserve">  Available: </w:t>
      </w:r>
      <w:r>
        <w:rPr>
          <w:rStyle w:val="InternetLink"/>
        </w:rPr>
        <w:t>http://www.(URL</w:t>
      </w:r>
      <w:r>
        <w:t>)</w:t>
      </w:r>
    </w:p>
    <w:p w:rsidR="001F6A8B" w:rsidRDefault="00871C17">
      <w:pPr>
        <w:pStyle w:val="References"/>
        <w:numPr>
          <w:ilvl w:val="0"/>
          <w:numId w:val="3"/>
        </w:numPr>
      </w:pPr>
      <w:r>
        <w:t xml:space="preserve">R. J. Vidmar. (1992, August). On the use of atmospheric plasmas as electromagnetic reflectors. </w:t>
      </w:r>
      <w:r>
        <w:rPr>
          <w:i/>
          <w:iCs/>
        </w:rPr>
        <w:t>IEEE Trans. Plasma Sci.</w:t>
      </w:r>
      <w:r>
        <w:t xml:space="preserve"> [Online]. </w:t>
      </w:r>
      <w:r>
        <w:rPr>
          <w:i/>
          <w:iCs/>
        </w:rPr>
        <w:t>21(3).</w:t>
      </w:r>
      <w:r>
        <w:t xml:space="preserve"> pp. 876–880.   Available: http://www.halcyon.com/pub/journals/21ps03-vidmar</w:t>
      </w:r>
    </w:p>
    <w:p w:rsidR="001F6A8B" w:rsidRDefault="001F6A8B">
      <w:pPr>
        <w:pStyle w:val="FigureCaption"/>
      </w:pPr>
    </w:p>
    <w:p w:rsidR="001F6A8B" w:rsidRDefault="001F6A8B">
      <w:pPr>
        <w:pStyle w:val="FigureCaption"/>
      </w:pPr>
    </w:p>
    <w:p w:rsidR="001F6A8B" w:rsidRDefault="001F6A8B">
      <w:pPr>
        <w:pStyle w:val="FigureCaption"/>
      </w:pPr>
    </w:p>
    <w:p w:rsidR="001F6A8B" w:rsidRDefault="001F6A8B">
      <w:pPr>
        <w:pStyle w:val="FigureCaption"/>
      </w:pPr>
    </w:p>
    <w:p w:rsidR="001F6A8B" w:rsidRDefault="001F6A8B">
      <w:pPr>
        <w:pStyle w:val="FigureCaption"/>
      </w:pPr>
    </w:p>
    <w:p w:rsidR="001F6A8B" w:rsidRDefault="00871C17">
      <w:pPr>
        <w:pStyle w:val="FigureCaption"/>
      </w:pPr>
      <w:r>
        <w:rPr>
          <w:b/>
          <w:bCs/>
        </w:rPr>
        <w:t>First A. Author</w:t>
      </w:r>
      <w:r>
        <w:t xml:space="preserve"> (M’76–SM’81–F’87) and </w:t>
      </w:r>
      <w:r>
        <w:t>the other authors may include biographies at the end of regular papers. Biographies are often not included in conference-related papers. This author became a Member (M) of IEEE in 1976, a Senior Member (SM) in 1981, and a Fellow (F) in 1987.  The first par</w:t>
      </w:r>
      <w:r>
        <w:t>agraph may contain a place and/or date of birth (list place, then date). Next, the author’s educational background is listed. The degrees should be listed with type of degree in what field, which institution, city, state, and country, and year degree was e</w:t>
      </w:r>
      <w:r>
        <w:t>arned. The author’s major field of study should be lower-cased.</w:t>
      </w:r>
    </w:p>
    <w:p w:rsidR="001F6A8B" w:rsidRDefault="00871C17">
      <w:pPr>
        <w:pStyle w:val="FigureCaption"/>
      </w:pPr>
      <w:r>
        <w:tab/>
        <w:t>The second paragraph uses the pronoun of the person (he or she) and not the author’s last name. It lists military and work experience, including summer and fellowship jobs. Job titles are cap</w:t>
      </w:r>
      <w:r>
        <w:t xml:space="preserve">italized. The current job must have a location; previous positions may be listed without one. Information concerning previous publications may be included. Try not to list more than three books or published articles. The format for listing publishers of a </w:t>
      </w:r>
      <w:r>
        <w:t>book within the biography is: title of book (city, state: publisher name, year) similar to a reference. Current and previous research interests end the paragraph.</w:t>
      </w:r>
    </w:p>
    <w:p w:rsidR="001F6A8B" w:rsidRDefault="00871C17">
      <w:pPr>
        <w:pStyle w:val="FigureCaption"/>
      </w:pPr>
      <w:r>
        <w:tab/>
        <w:t>The third paragraph begins with the author’s title and last name (e.g., Dr. Smith, Prof. Jon</w:t>
      </w:r>
      <w:r>
        <w:t>es, Mr. Kajor, Ms. Hunter). List any memberships in professional societies other than the IEEE. Finally, list any awards and work for IEEE committees and publications.  If a photograph is provided, the biography will be indented around it. The photograph i</w:t>
      </w:r>
      <w:r>
        <w:t>s placed at the top left of the biography. Personal hobbies will be deleted from the biography.</w:t>
      </w:r>
    </w:p>
    <w:sectPr w:rsidR="001F6A8B">
      <w:headerReference w:type="default" r:id="rId13"/>
      <w:pgSz w:w="12240" w:h="15840"/>
      <w:pgMar w:top="1440" w:right="1440" w:bottom="1440" w:left="1440" w:header="720" w:footer="720" w:gutter="0"/>
      <w:cols w:num="2" w:space="288"/>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C17" w:rsidRDefault="00871C17">
      <w:pPr>
        <w:spacing w:after="0" w:line="240" w:lineRule="auto"/>
      </w:pPr>
      <w:r>
        <w:separator/>
      </w:r>
    </w:p>
  </w:endnote>
  <w:endnote w:type="continuationSeparator" w:id="0">
    <w:p w:rsidR="00871C17" w:rsidRDefault="00871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askerville;Courier">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C17" w:rsidRDefault="00871C17">
      <w:pPr>
        <w:spacing w:after="0" w:line="240" w:lineRule="auto"/>
      </w:pPr>
      <w:r>
        <w:separator/>
      </w:r>
    </w:p>
  </w:footnote>
  <w:footnote w:type="continuationSeparator" w:id="0">
    <w:p w:rsidR="00871C17" w:rsidRDefault="00871C17">
      <w:pPr>
        <w:spacing w:after="0" w:line="240" w:lineRule="auto"/>
      </w:pPr>
      <w:r>
        <w:continuationSeparator/>
      </w:r>
    </w:p>
  </w:footnote>
  <w:footnote w:id="1">
    <w:p w:rsidR="001F6A8B" w:rsidRDefault="00871C17">
      <w:pPr>
        <w:pStyle w:val="Footnote"/>
      </w:pPr>
      <w:r>
        <w:tab/>
      </w:r>
      <w:r>
        <w:t>Manuscript received October 9, 2001. (Write the date on which you submitted your paper for review.) This work was supported in part by the U.S. Department of Commerce under Grant BS123456 (sponsor and financial support acknowledgment goes here). Paper titl</w:t>
      </w:r>
      <w:r>
        <w:t>es should be written in uppercase and lowercase letters, not all uppercase. Avoid writing long formulas with subscripts in the title; short formulas that identify the elements are fine (e.g., "Nd–Fe–B"). Do not write “(Invited)” in the title. Full names of</w:t>
      </w:r>
      <w:r>
        <w:t xml:space="preserve"> authors are preferred in the author field, but are not required. Put a space between authors’ initials. </w:t>
      </w:r>
    </w:p>
    <w:p w:rsidR="001F6A8B" w:rsidRDefault="00871C17">
      <w:pPr>
        <w:pStyle w:val="Footnote"/>
      </w:pPr>
      <w:r>
        <w:tab/>
        <w:t xml:space="preserve">F. A. Author is with the National Institute of Standards and Technology, Boulder, CO 80305 USA (corresponding author to provide phone: 303-555-5555; </w:t>
      </w:r>
      <w:r>
        <w:t xml:space="preserve">fax: 303-555-5555; e-mail: author@ boulder.nist.gov). </w:t>
      </w:r>
    </w:p>
    <w:p w:rsidR="001F6A8B" w:rsidRDefault="00871C17">
      <w:pPr>
        <w:pStyle w:val="Footnote"/>
      </w:pPr>
      <w:r>
        <w:tab/>
        <w:t>S. B. Author, Jr., was with Rice University, Houston, TX 77005 USA. He is now with the Department of Physics, Colorado State University, Fort Collins, CO 80523 USA (e-mail: author@lamar.colostate.edu)</w:t>
      </w:r>
      <w:r>
        <w:t>.</w:t>
      </w:r>
    </w:p>
    <w:p w:rsidR="001F6A8B" w:rsidRDefault="00871C17">
      <w:pPr>
        <w:pStyle w:val="Footnote"/>
      </w:pPr>
      <w:r>
        <w:tab/>
        <w:t>T. C. Author is with the Electrical Engineering Department, University of Colorado, Boulder, CO 80309 USA, on leave from the National Research Institute for Metals, Tsukuba, Japan (e-mail: author@nrim.go.jp).</w:t>
      </w:r>
    </w:p>
    <w:p w:rsidR="001F6A8B" w:rsidRDefault="001F6A8B">
      <w:pPr>
        <w:pStyle w:val="Footnot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A8B" w:rsidRDefault="00871C17">
    <w:pPr>
      <w:ind w:right="360"/>
    </w:pPr>
    <w:r>
      <w:t>&gt; REPLACE THIS LINE WITH YOUR PAPER IDENTIFICATION NUMBER (DOUBLE-CLICK HERE TO EDIT) &lt;</w:t>
    </w:r>
  </w:p>
  <w:p w:rsidR="001F6A8B" w:rsidRDefault="00871C17">
    <w:pPr>
      <w:ind w:right="360"/>
    </w:pPr>
    <w:r>
      <w:t>-</w:t>
    </w:r>
    <w:r>
      <w:fldChar w:fldCharType="begin"/>
    </w:r>
    <w:r>
      <w:instrText>P</w:instrText>
    </w:r>
    <w:r>
      <w:instrText>AGE</w:instrText>
    </w:r>
    <w:r>
      <w:fldChar w:fldCharType="separate"/>
    </w:r>
    <w:r w:rsidR="00DE2C69">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11C14"/>
    <w:multiLevelType w:val="multilevel"/>
    <w:tmpl w:val="9FCE0A5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637E19DC"/>
    <w:multiLevelType w:val="multilevel"/>
    <w:tmpl w:val="636A2EF2"/>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714B0EE3"/>
    <w:multiLevelType w:val="multilevel"/>
    <w:tmpl w:val="8CF4D6BE"/>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2.%3)"/>
      <w:lvlJc w:val="left"/>
      <w:pPr>
        <w:ind w:left="0" w:firstLine="0"/>
      </w:pPr>
    </w:lvl>
    <w:lvl w:ilvl="3">
      <w:start w:val="1"/>
      <w:numFmt w:val="lowerLetter"/>
      <w:lvlText w:val="%2.%3.%4)"/>
      <w:lvlJc w:val="left"/>
      <w:pPr>
        <w:ind w:left="1152" w:hanging="720"/>
      </w:pPr>
    </w:lvl>
    <w:lvl w:ilvl="4">
      <w:start w:val="1"/>
      <w:numFmt w:val="decimal"/>
      <w:lvlText w:val="(%2.%3.%4.%5)"/>
      <w:lvlJc w:val="left"/>
      <w:pPr>
        <w:ind w:left="1872" w:hanging="720"/>
      </w:pPr>
    </w:lvl>
    <w:lvl w:ilvl="5">
      <w:start w:val="1"/>
      <w:numFmt w:val="lowerLetter"/>
      <w:lvlText w:val="(%2.%3.%4.%5.%6)"/>
      <w:lvlJc w:val="left"/>
      <w:pPr>
        <w:ind w:left="2592" w:hanging="720"/>
      </w:pPr>
    </w:lvl>
    <w:lvl w:ilvl="6">
      <w:start w:val="1"/>
      <w:numFmt w:val="lowerRoman"/>
      <w:lvlText w:val="(%2.%3.%4.%5.%6.%7)"/>
      <w:lvlJc w:val="left"/>
      <w:pPr>
        <w:ind w:left="3312" w:hanging="720"/>
      </w:pPr>
    </w:lvl>
    <w:lvl w:ilvl="7">
      <w:start w:val="1"/>
      <w:numFmt w:val="lowerLetter"/>
      <w:lvlText w:val="(%2.%3.%4.%5.%6.%7.%8)"/>
      <w:lvlJc w:val="left"/>
      <w:pPr>
        <w:ind w:left="4032" w:hanging="720"/>
      </w:pPr>
    </w:lvl>
    <w:lvl w:ilvl="8">
      <w:start w:val="1"/>
      <w:numFmt w:val="lowerRoman"/>
      <w:lvlText w:val="(%2.%3.%4.%5.%6.%7.%8.%9)"/>
      <w:lvlJc w:val="left"/>
      <w:pPr>
        <w:ind w:left="4752" w:hanging="7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F6A8B"/>
    <w:rsid w:val="00101375"/>
    <w:rsid w:val="001852AE"/>
    <w:rsid w:val="001F6A8B"/>
    <w:rsid w:val="00253F4D"/>
    <w:rsid w:val="00286E25"/>
    <w:rsid w:val="00293324"/>
    <w:rsid w:val="007F5ECD"/>
    <w:rsid w:val="00800657"/>
    <w:rsid w:val="00871C17"/>
    <w:rsid w:val="00C0716C"/>
    <w:rsid w:val="00C840C8"/>
    <w:rsid w:val="00D61024"/>
    <w:rsid w:val="00DE2C69"/>
    <w:rsid w:val="00E52854"/>
    <w:rsid w:val="00E740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202"/>
      </w:tabs>
      <w:suppressAutoHyphens/>
    </w:pPr>
    <w:rPr>
      <w:rFonts w:ascii="Times New Roman" w:eastAsia="Times New Roman" w:hAnsi="Times New Roman" w:cs="Times New Roman"/>
      <w:color w:val="00000A"/>
      <w:sz w:val="20"/>
      <w:szCs w:val="20"/>
      <w:lang w:val="en-US" w:eastAsia="zh-CN"/>
    </w:rPr>
  </w:style>
  <w:style w:type="paragraph" w:styleId="Heading1">
    <w:name w:val="heading 1"/>
    <w:basedOn w:val="Normal"/>
    <w:next w:val="Textbody"/>
    <w:pPr>
      <w:keepNext/>
      <w:spacing w:before="240" w:after="80"/>
      <w:jc w:val="center"/>
      <w:outlineLvl w:val="0"/>
    </w:pPr>
    <w:rPr>
      <w:smallCaps/>
    </w:rPr>
  </w:style>
  <w:style w:type="paragraph" w:styleId="Heading2">
    <w:name w:val="heading 2"/>
    <w:basedOn w:val="Normal"/>
    <w:next w:val="Textbody"/>
    <w:pPr>
      <w:keepNext/>
      <w:spacing w:before="120" w:after="60"/>
      <w:ind w:left="144"/>
      <w:outlineLvl w:val="1"/>
    </w:pPr>
    <w:rPr>
      <w:i/>
      <w:iCs/>
    </w:rPr>
  </w:style>
  <w:style w:type="paragraph" w:styleId="Heading3">
    <w:name w:val="heading 3"/>
    <w:basedOn w:val="Normal"/>
    <w:next w:val="Textbody"/>
    <w:pPr>
      <w:keepNext/>
      <w:ind w:left="288"/>
      <w:outlineLvl w:val="2"/>
    </w:pPr>
    <w:rPr>
      <w:i/>
      <w:iCs/>
    </w:rPr>
  </w:style>
  <w:style w:type="paragraph" w:styleId="Heading4">
    <w:name w:val="heading 4"/>
    <w:basedOn w:val="Normal"/>
    <w:next w:val="Textbody"/>
    <w:pPr>
      <w:keepNext/>
      <w:spacing w:before="240" w:after="60"/>
      <w:ind w:left="1152" w:hanging="720"/>
      <w:outlineLvl w:val="3"/>
    </w:pPr>
    <w:rPr>
      <w:i/>
      <w:iCs/>
      <w:sz w:val="18"/>
      <w:szCs w:val="18"/>
    </w:rPr>
  </w:style>
  <w:style w:type="paragraph" w:styleId="Heading5">
    <w:name w:val="heading 5"/>
    <w:basedOn w:val="Normal"/>
    <w:next w:val="Textbody"/>
    <w:pPr>
      <w:spacing w:before="240" w:after="60"/>
      <w:ind w:left="1872" w:hanging="720"/>
      <w:outlineLvl w:val="4"/>
    </w:pPr>
    <w:rPr>
      <w:sz w:val="18"/>
      <w:szCs w:val="18"/>
    </w:rPr>
  </w:style>
  <w:style w:type="paragraph" w:styleId="Heading6">
    <w:name w:val="heading 6"/>
    <w:basedOn w:val="Normal"/>
    <w:next w:val="Textbody"/>
    <w:pPr>
      <w:spacing w:before="240" w:after="60"/>
      <w:ind w:left="2592" w:hanging="720"/>
      <w:outlineLvl w:val="5"/>
    </w:pPr>
    <w:rPr>
      <w:i/>
      <w:iCs/>
      <w:sz w:val="16"/>
      <w:szCs w:val="16"/>
    </w:rPr>
  </w:style>
  <w:style w:type="paragraph" w:styleId="Heading7">
    <w:name w:val="heading 7"/>
    <w:basedOn w:val="Normal"/>
    <w:next w:val="Textbody"/>
    <w:pPr>
      <w:spacing w:before="240" w:after="60"/>
      <w:ind w:left="3312" w:hanging="720"/>
      <w:outlineLvl w:val="6"/>
    </w:pPr>
    <w:rPr>
      <w:sz w:val="16"/>
      <w:szCs w:val="16"/>
    </w:rPr>
  </w:style>
  <w:style w:type="paragraph" w:styleId="Heading8">
    <w:name w:val="heading 8"/>
    <w:basedOn w:val="Normal"/>
    <w:next w:val="Textbody"/>
    <w:pPr>
      <w:spacing w:before="240" w:after="60"/>
      <w:ind w:left="4032" w:hanging="720"/>
      <w:outlineLvl w:val="7"/>
    </w:pPr>
    <w:rPr>
      <w:i/>
      <w:iCs/>
      <w:sz w:val="16"/>
      <w:szCs w:val="16"/>
    </w:rPr>
  </w:style>
  <w:style w:type="paragraph" w:styleId="Heading9">
    <w:name w:val="heading 9"/>
    <w:basedOn w:val="Normal"/>
    <w:next w:val="Textbody"/>
    <w:pPr>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mberType">
    <w:name w:val="MemberType"/>
    <w:basedOn w:val="DefaultParagraphFont"/>
    <w:rPr>
      <w:rFonts w:ascii="Times New Roman" w:hAnsi="Times New Roman" w:cs="Times New Roman"/>
      <w:i/>
      <w:iCs/>
      <w:sz w:val="22"/>
      <w:szCs w:val="22"/>
    </w:rPr>
  </w:style>
  <w:style w:type="character" w:customStyle="1" w:styleId="FootnoteCharacters">
    <w:name w:val="Footnote Characters"/>
    <w:basedOn w:val="DefaultParagraphFont"/>
    <w:rPr>
      <w:vertAlign w:val="superscript"/>
    </w:rPr>
  </w:style>
  <w:style w:type="character" w:customStyle="1" w:styleId="InternetLink">
    <w:name w:val="Internet Link"/>
    <w:basedOn w:val="DefaultParagraphFont"/>
    <w:rPr>
      <w:color w:val="0000FF"/>
      <w:u w:val="single"/>
      <w:lang w:val="en-US" w:eastAsia="en-US" w:bidi="en-US"/>
    </w:rPr>
  </w:style>
  <w:style w:type="character" w:customStyle="1" w:styleId="VisitedInternetLink">
    <w:name w:val="Visited Internet Link"/>
    <w:basedOn w:val="DefaultParagraphFont"/>
    <w:rPr>
      <w:color w:val="800080"/>
      <w:u w:val="single"/>
      <w:lang w:val="en-US" w:eastAsia="en-US" w:bidi="en-US"/>
    </w:rPr>
  </w:style>
  <w:style w:type="character" w:customStyle="1" w:styleId="A5">
    <w:name w:val="A5"/>
    <w:rPr>
      <w:color w:val="00529F"/>
      <w:sz w:val="20"/>
      <w:szCs w:val="20"/>
    </w:rPr>
  </w:style>
  <w:style w:type="character" w:customStyle="1" w:styleId="WW8Dropcap0">
    <w:name w:val="WW8Dropcap0"/>
    <w:rPr>
      <w:sz w:val="56"/>
      <w:szCs w:val="56"/>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jc w:val="center"/>
    </w:pPr>
    <w:rPr>
      <w:rFonts w:ascii="Arial" w:eastAsia="Droid Sans Fallback" w:hAnsi="Arial" w:cs="Lohit Hindi"/>
      <w:sz w:val="48"/>
      <w:szCs w:val="4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basedOn w:val="Normal"/>
    <w:pPr>
      <w:spacing w:before="20" w:after="0"/>
      <w:ind w:firstLine="202"/>
      <w:jc w:val="both"/>
    </w:pPr>
    <w:rPr>
      <w:b/>
      <w:bCs/>
      <w:sz w:val="18"/>
      <w:szCs w:val="18"/>
    </w:rPr>
  </w:style>
  <w:style w:type="paragraph" w:customStyle="1" w:styleId="Authors">
    <w:name w:val="Authors"/>
    <w:basedOn w:val="Normal"/>
    <w:pPr>
      <w:spacing w:after="320"/>
      <w:jc w:val="center"/>
    </w:pPr>
    <w:rPr>
      <w:sz w:val="22"/>
      <w:szCs w:val="22"/>
    </w:rPr>
  </w:style>
  <w:style w:type="paragraph" w:customStyle="1" w:styleId="Footnote">
    <w:name w:val="Footnote"/>
    <w:basedOn w:val="Normal"/>
    <w:pPr>
      <w:suppressLineNumbers/>
      <w:ind w:firstLine="202"/>
      <w:jc w:val="both"/>
    </w:pPr>
    <w:rPr>
      <w:sz w:val="16"/>
      <w:szCs w:val="16"/>
    </w:rPr>
  </w:style>
  <w:style w:type="paragraph" w:customStyle="1" w:styleId="References">
    <w:name w:val="References"/>
    <w:basedOn w:val="Normal"/>
    <w:pPr>
      <w:ind w:left="360" w:hanging="360"/>
      <w:jc w:val="both"/>
    </w:pPr>
    <w:rPr>
      <w:sz w:val="16"/>
      <w:szCs w:val="16"/>
    </w:rPr>
  </w:style>
  <w:style w:type="paragraph" w:customStyle="1" w:styleId="IndexTerms">
    <w:name w:val="IndexTerms"/>
    <w:basedOn w:val="Normal"/>
    <w:pPr>
      <w:ind w:firstLine="202"/>
      <w:jc w:val="both"/>
    </w:pPr>
    <w:rPr>
      <w:b/>
      <w:bCs/>
      <w:sz w:val="18"/>
      <w:szCs w:val="18"/>
    </w:rPr>
  </w:style>
  <w:style w:type="paragraph" w:styleId="Footer">
    <w:name w:val="footer"/>
    <w:basedOn w:val="Normal"/>
    <w:pPr>
      <w:suppressLineNumbers/>
      <w:tabs>
        <w:tab w:val="center" w:pos="4320"/>
        <w:tab w:val="right" w:pos="8640"/>
      </w:tabs>
    </w:pPr>
  </w:style>
  <w:style w:type="paragraph" w:customStyle="1" w:styleId="Text">
    <w:name w:val="Text"/>
    <w:basedOn w:val="Normal"/>
    <w:pPr>
      <w:widowControl w:val="0"/>
      <w:spacing w:line="252" w:lineRule="atLeast"/>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style>
  <w:style w:type="paragraph" w:styleId="Header">
    <w:name w:val="header"/>
    <w:basedOn w:val="Normal"/>
    <w:pPr>
      <w:suppressLineNumbers/>
      <w:tabs>
        <w:tab w:val="center" w:pos="4320"/>
        <w:tab w:val="right" w:pos="8640"/>
      </w:tabs>
    </w:pPr>
  </w:style>
  <w:style w:type="paragraph" w:customStyle="1" w:styleId="Equation">
    <w:name w:val="Equation"/>
    <w:basedOn w:val="Normal"/>
    <w:pPr>
      <w:widowControl w:val="0"/>
      <w:tabs>
        <w:tab w:val="right" w:pos="5040"/>
      </w:tabs>
      <w:spacing w:line="252" w:lineRule="atLeast"/>
      <w:jc w:val="both"/>
    </w:pPr>
  </w:style>
  <w:style w:type="paragraph" w:customStyle="1" w:styleId="Textbodyindent">
    <w:name w:val="Text body indent"/>
    <w:basedOn w:val="Normal"/>
    <w:pPr>
      <w:ind w:left="630" w:hanging="630"/>
    </w:pPr>
    <w:rPr>
      <w:szCs w:val="24"/>
    </w:rPr>
  </w:style>
  <w:style w:type="paragraph" w:styleId="DocumentMap">
    <w:name w:val="Document Map"/>
    <w:basedOn w:val="Normal"/>
    <w:pPr>
      <w:shd w:val="clear" w:color="auto" w:fill="000080"/>
    </w:pPr>
    <w:rPr>
      <w:rFonts w:ascii="Tahoma" w:hAnsi="Tahoma" w:cs="Tahoma"/>
    </w:rPr>
  </w:style>
  <w:style w:type="paragraph" w:customStyle="1" w:styleId="Pa0">
    <w:name w:val="Pa0"/>
    <w:basedOn w:val="Normal"/>
    <w:pPr>
      <w:widowControl w:val="0"/>
      <w:spacing w:line="241" w:lineRule="atLeast"/>
    </w:pPr>
    <w:rPr>
      <w:rFonts w:ascii="Baskerville;Courier" w:hAnsi="Baskerville;Courier" w:cs="Baskerville;Courier"/>
      <w:sz w:val="24"/>
      <w:szCs w:val="24"/>
      <w:lang w:bidi="en-CA"/>
    </w:rPr>
  </w:style>
  <w:style w:type="paragraph" w:customStyle="1" w:styleId="Framecontents">
    <w:name w:val="Frame contents"/>
    <w:basedOn w:val="Textbody"/>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ieee.org/organizations/pubs/ani_prod/keywrd98.txt"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at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w3.org/Graphics/SV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mathworld.wolfram.com/HoughTransform.html" TargetMode="External"/><Relationship Id="rId4" Type="http://schemas.openxmlformats.org/officeDocument/2006/relationships/settings" Target="settings.xml"/><Relationship Id="rId9" Type="http://schemas.openxmlformats.org/officeDocument/2006/relationships/hyperlink" Target="http://www.mathworks.com/help/toolbox/images/ref/houghpeak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3</Pages>
  <Words>1648</Words>
  <Characters>9395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11021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lastModifiedBy>Scott</cp:lastModifiedBy>
  <cp:revision>9</cp:revision>
  <cp:lastPrinted>2007-05-08T08:48:00Z</cp:lastPrinted>
  <dcterms:created xsi:type="dcterms:W3CDTF">2008-06-27T10:28:00Z</dcterms:created>
  <dcterms:modified xsi:type="dcterms:W3CDTF">2011-07-25T21:06:00Z</dcterms:modified>
</cp:coreProperties>
</file>