
<file path=[Content_Types].xml><?xml version="1.0" encoding="utf-8"?>
<Types xmlns="http://schemas.openxmlformats.org/package/2006/content-types">
  <Override PartName="/word/footnotes.xml" ContentType="application/vnd.openxmlformats-officedocument.wordprocessingml.footnotes+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6"/>
        <w:ind w:hanging="0" w:left="0" w:right="0"/>
      </w:pPr>
      <w:r>
        <w:rPr>
          <w:sz w:val="18"/>
          <w:szCs w:val="18"/>
          <w:rStyle w:val="style22"/>
          <w:rFonts w:ascii="Symbol" w:hAnsi="Symbol"/>
        </w:rPr>
        <w:footnoteReference w:customMarkFollows="1" w:id="2"/>
        <w:t></w:t>
      </w:r>
    </w:p>
    <w:p>
      <w:pPr>
        <w:pStyle w:val="style30"/>
      </w:pPr>
      <w:r>
        <w:rPr>
          <w:i/>
          <w:iCs/>
        </w:rPr>
        <w:t>Abstract</w:t>
      </w:r>
      <w:r>
        <w:rPr/>
        <w:t>—This paper outlines a project to vectorize raster images. Vector graphics uses geometrical primitives based on mathematical equations to represent images. Since vector graphics constructs the displayed image from a mathematical model it is possible to rended the model at any zoom level without creating a (pixelized – change this) image.</w:t>
      </w:r>
    </w:p>
    <w:p>
      <w:pPr>
        <w:pStyle w:val="style31"/>
        <w:shd w:fill="FFFFFF"/>
        <w:jc w:val="center"/>
        <w:framePr w:h="210" w:hAnchor="page" w:hRule="atLeast" w:hSpace="187" w:vAnchor="margin" w:vSpace="187" w:w="9072" w:wrap="none" w:xAlign="center" w:y="1"/>
        <w:spacing w:after="320" w:before="0"/>
      </w:pPr>
      <w:r>
        <w:rPr/>
        <w:t xml:space="preserve">S, Stevenson,  </w:t>
      </w:r>
      <w:r>
        <w:rPr>
          <w:rStyle w:val="style16"/>
        </w:rPr>
        <w:t>Member, IEEE, and D, Benoit (Check this Formatting)</w:t>
      </w:r>
    </w:p>
    <w:p>
      <w:pPr>
        <w:pStyle w:val="style0"/>
      </w:pPr>
      <w:r>
        <w:rPr/>
      </w:r>
    </w:p>
    <w:p>
      <w:pPr>
        <w:pStyle w:val="style34"/>
      </w:pPr>
      <w:bookmarkStart w:id="0" w:name="PointTmp"/>
      <w:bookmarkEnd w:id="0"/>
      <w:r>
        <w:rPr>
          <w:i/>
          <w:iCs/>
        </w:rPr>
        <w:t>Index Terms</w:t>
      </w:r>
      <w:r>
        <w:rPr/>
        <w:t>—Imaging, Image converters</w:t>
        <w:t xml:space="preserve">, , </w:t>
      </w:r>
      <w:hyperlink r:id="rId2">
        <w:r>
          <w:rPr>
            <w:rStyle w:val="style18"/>
            <w:b/>
            <w:szCs w:val="20"/>
            <w:bCs/>
            <w:rStyle w:val="style19"/>
          </w:rPr>
          <w:t>http://www.ieee.org/organizations/pubs/ani_prod/keywrd98.txt</w:t>
        </w:r>
      </w:hyperlink>
    </w:p>
    <w:p>
      <w:pPr>
        <w:pStyle w:val="style0"/>
      </w:pPr>
      <w:r>
        <w:rPr/>
      </w:r>
    </w:p>
    <w:p>
      <w:pPr>
        <w:pStyle w:val="style1"/>
        <w:numPr>
          <w:ilvl w:val="0"/>
          <w:numId w:val="1"/>
        </w:numPr>
      </w:pPr>
      <w:bookmarkStart w:id="1" w:name="PointTmp"/>
      <w:bookmarkEnd w:id="1"/>
      <w:r>
        <w:rPr/>
        <w:t>I</w:t>
      </w:r>
      <w:r>
        <w:rPr>
          <w:sz w:val="16"/>
          <w:szCs w:val="16"/>
        </w:rPr>
        <w:t>NTRODUCTION</w:t>
      </w:r>
    </w:p>
    <w:p>
      <w:pPr>
        <w:pStyle w:val="style36"/>
        <w:ind w:hanging="0" w:left="0" w:right="0"/>
      </w:pPr>
      <w:r>
        <w:rPr/>
        <w:t>T</w:t>
      </w:r>
      <w:r>
        <w:rPr>
          <w:smallCaps/>
        </w:rPr>
        <w:t>HIS</w:t>
      </w:r>
      <w:r>
        <w:rPr/>
        <w:t xml:space="preserve"> document is a overview of the Vectorization project. This project was implemented using matlab and its Image Processing Toolbox. The implementation consists of a GUI to load images, and user controlled vectorization methods. </w:t>
      </w:r>
    </w:p>
    <w:p>
      <w:pPr>
        <w:pStyle w:val="style36"/>
      </w:pPr>
      <w:r>
        <w:rPr/>
        <w:t>The main GUI presents the user with (three) options: Polygons, Lines and Curves (Maby should do a combined one)</w:t>
        <w:br/>
      </w:r>
    </w:p>
    <w:p>
      <w:pPr>
        <w:pStyle w:val="style1"/>
        <w:numPr>
          <w:ilvl w:val="0"/>
          <w:numId w:val="1"/>
        </w:numPr>
      </w:pPr>
      <w:r>
        <w:rPr/>
        <w:t>Polygon Detection</w:t>
      </w:r>
    </w:p>
    <w:p>
      <w:pPr>
        <w:pStyle w:val="style1"/>
        <w:numPr>
          <w:ilvl w:val="0"/>
          <w:numId w:val="1"/>
        </w:numPr>
      </w:pPr>
      <w:r>
        <w:rPr>
          <w:sz w:val="16"/>
          <w:szCs w:val="16"/>
        </w:rPr>
        <w:t>Line Detection</w:t>
      </w:r>
    </w:p>
    <w:p>
      <w:pPr>
        <w:pStyle w:val="style2"/>
        <w:numPr>
          <w:ilvl w:val="1"/>
          <w:numId w:val="1"/>
        </w:numPr>
        <w:ind w:hanging="0" w:left="144" w:right="0"/>
      </w:pPr>
      <w:r>
        <w:rPr>
          <w:sz w:val="16"/>
          <w:szCs w:val="16"/>
        </w:rPr>
        <w:t>Hough Method</w:t>
      </w:r>
    </w:p>
    <w:p>
      <w:pPr>
        <w:pStyle w:val="style2"/>
        <w:numPr>
          <w:ilvl w:val="1"/>
          <w:numId w:val="1"/>
        </w:numPr>
        <w:ind w:hanging="0" w:left="144" w:right="0"/>
      </w:pPr>
      <w:r>
        <w:rPr>
          <w:sz w:val="16"/>
          <w:szCs w:val="16"/>
        </w:rPr>
        <w:t>Other Method</w:t>
      </w:r>
    </w:p>
    <w:p>
      <w:pPr>
        <w:pStyle w:val="style36"/>
        <w:ind w:hanging="0" w:left="0" w:right="0"/>
      </w:pPr>
      <w:r>
        <w:rPr/>
      </w:r>
    </w:p>
    <w:p>
      <w:pPr>
        <w:pStyle w:val="style1"/>
        <w:numPr>
          <w:ilvl w:val="0"/>
          <w:numId w:val="1"/>
        </w:numPr>
      </w:pPr>
      <w:r>
        <w:rPr/>
        <w:t>Conclusion</w:t>
      </w:r>
    </w:p>
    <w:p>
      <w:pPr>
        <w:pStyle w:val="style36"/>
      </w:pPr>
      <w:r>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pPr>
        <w:pStyle w:val="style39"/>
      </w:pPr>
      <w:r>
        <w:rPr/>
        <w:t>Appendix</w:t>
      </w:r>
    </w:p>
    <w:p>
      <w:pPr>
        <w:pStyle w:val="style36"/>
      </w:pPr>
      <w:r>
        <w:rPr/>
        <w:t>Appendixes, if needed, appear before the acknowledgment.</w:t>
      </w:r>
    </w:p>
    <w:p>
      <w:pPr>
        <w:pStyle w:val="style39"/>
      </w:pPr>
      <w:r>
        <w:rPr/>
        <w:t>Acknowledgment</w:t>
      </w:r>
    </w:p>
    <w:p>
      <w:pPr>
        <w:pStyle w:val="style36"/>
      </w:pPr>
      <w:r>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
          <w:bCs/>
        </w:rPr>
        <w:t>Sponsor and financial support acknowledgments are placed in the unnumbered footnote on the first page, not here.</w:t>
      </w:r>
    </w:p>
    <w:p>
      <w:pPr>
        <w:pStyle w:val="style39"/>
      </w:pPr>
      <w:r>
        <w:rPr/>
        <w:t>References</w:t>
      </w:r>
    </w:p>
    <w:p>
      <w:pPr>
        <w:pStyle w:val="style0"/>
        <w:numPr>
          <w:ilvl w:val="0"/>
          <w:numId w:val="3"/>
        </w:numPr>
      </w:pPr>
      <w:r>
        <w:rPr>
          <w:sz w:val="16"/>
          <w:szCs w:val="16"/>
        </w:rPr>
        <w:t xml:space="preserve">G. O. Young, “Synthetic structure of industrial plastics (Book style with paper title and editor),” </w:t>
        <w:tab/>
        <w:t xml:space="preserve">in </w:t>
      </w:r>
      <w:r>
        <w:rPr>
          <w:sz w:val="16"/>
          <w:i/>
          <w:szCs w:val="16"/>
          <w:iCs/>
        </w:rPr>
        <w:t>Plastics</w:t>
      </w:r>
      <w:r>
        <w:rPr>
          <w:sz w:val="16"/>
          <w:szCs w:val="16"/>
        </w:rPr>
        <w:t>, 2nd ed. vol. 3, J. Peters, Ed.  New York: McGraw-Hill, 1964, pp. 15–64.</w:t>
      </w:r>
    </w:p>
    <w:p>
      <w:pPr>
        <w:pStyle w:val="style0"/>
        <w:numPr>
          <w:ilvl w:val="0"/>
          <w:numId w:val="3"/>
        </w:numPr>
      </w:pPr>
      <w:r>
        <w:rPr>
          <w:sz w:val="16"/>
          <w:szCs w:val="16"/>
        </w:rPr>
        <w:t xml:space="preserve">W.-K. Chen, </w:t>
      </w:r>
      <w:r>
        <w:rPr>
          <w:sz w:val="16"/>
          <w:i/>
          <w:szCs w:val="16"/>
          <w:iCs/>
        </w:rPr>
        <w:t>Linear Networks and Systems</w:t>
      </w:r>
      <w:r>
        <w:rPr>
          <w:sz w:val="16"/>
          <w:szCs w:val="16"/>
        </w:rPr>
        <w:t xml:space="preserve"> (Book style)</w:t>
      </w:r>
      <w:r>
        <w:rPr>
          <w:sz w:val="16"/>
          <w:i/>
          <w:szCs w:val="16"/>
          <w:iCs/>
        </w:rPr>
        <w:t>.</w:t>
      </w:r>
      <w:r>
        <w:rPr>
          <w:sz w:val="16"/>
          <w:szCs w:val="16"/>
        </w:rPr>
        <w:tab/>
        <w:t>Belmont, CA: Wadsworth, 1993, pp. 123–135.</w:t>
      </w:r>
    </w:p>
    <w:p>
      <w:pPr>
        <w:pStyle w:val="style0"/>
        <w:numPr>
          <w:ilvl w:val="0"/>
          <w:numId w:val="3"/>
        </w:numPr>
      </w:pPr>
      <w:r>
        <w:rPr>
          <w:sz w:val="16"/>
          <w:szCs w:val="16"/>
        </w:rPr>
        <w:t xml:space="preserve">H. Poor, </w:t>
      </w:r>
      <w:r>
        <w:rPr>
          <w:sz w:val="16"/>
          <w:i/>
          <w:szCs w:val="16"/>
          <w:iCs/>
        </w:rPr>
        <w:t>An Introduction to Signal Detection and Estimation</w:t>
      </w:r>
      <w:r>
        <w:rPr>
          <w:sz w:val="16"/>
          <w:szCs w:val="16"/>
        </w:rPr>
        <w:t>.   New York: Springer-Verlag, 1985, ch. 4.</w:t>
      </w:r>
    </w:p>
    <w:p>
      <w:pPr>
        <w:pStyle w:val="style33"/>
        <w:numPr>
          <w:ilvl w:val="0"/>
          <w:numId w:val="3"/>
        </w:numPr>
      </w:pPr>
      <w:r>
        <w:rPr/>
        <w:t>B. Smith, “An approach to graphs of linear forms (Unpublished work style),” unpublished.</w:t>
      </w:r>
    </w:p>
    <w:p>
      <w:pPr>
        <w:pStyle w:val="style0"/>
        <w:numPr>
          <w:ilvl w:val="0"/>
          <w:numId w:val="3"/>
        </w:numPr>
      </w:pPr>
      <w:r>
        <w:rPr>
          <w:sz w:val="16"/>
          <w:szCs w:val="16"/>
        </w:rPr>
        <w:t xml:space="preserve">E. H. Miller, “A note on reflector arrays (Periodical style—Accepted for publication),” </w:t>
      </w:r>
      <w:r>
        <w:rPr>
          <w:sz w:val="16"/>
          <w:i/>
          <w:szCs w:val="16"/>
          <w:iCs/>
        </w:rPr>
        <w:t>IEEE Trans. Antennas Propagat.</w:t>
      </w:r>
      <w:r>
        <w:rPr>
          <w:sz w:val="16"/>
          <w:szCs w:val="16"/>
        </w:rPr>
        <w:t>, to be published.</w:t>
      </w:r>
    </w:p>
    <w:p>
      <w:pPr>
        <w:pStyle w:val="style0"/>
        <w:numPr>
          <w:ilvl w:val="0"/>
          <w:numId w:val="3"/>
        </w:numPr>
      </w:pPr>
      <w:r>
        <w:rPr>
          <w:sz w:val="16"/>
          <w:szCs w:val="16"/>
        </w:rPr>
        <w:t xml:space="preserve">J. Wang, “Fundamentals of erbium-doped fiber amplifiers arrays (Periodical style—Submitted for publication),” </w:t>
      </w:r>
      <w:r>
        <w:rPr>
          <w:sz w:val="16"/>
          <w:i/>
          <w:szCs w:val="16"/>
          <w:iCs/>
        </w:rPr>
        <w:t>IEEE J. Quantum Electron.</w:t>
      </w:r>
      <w:r>
        <w:rPr>
          <w:sz w:val="16"/>
          <w:szCs w:val="16"/>
        </w:rPr>
        <w:t>, submitted for publication.</w:t>
      </w:r>
    </w:p>
    <w:p>
      <w:pPr>
        <w:pStyle w:val="style33"/>
        <w:numPr>
          <w:ilvl w:val="0"/>
          <w:numId w:val="3"/>
        </w:numPr>
      </w:pPr>
      <w:r>
        <w:rPr/>
        <w:t>C. J. Kaufman, Rocky Mountain Research Lab., Boulder, CO, private communication, May 1995.</w:t>
      </w:r>
    </w:p>
    <w:p>
      <w:pPr>
        <w:pStyle w:val="style33"/>
        <w:numPr>
          <w:ilvl w:val="0"/>
          <w:numId w:val="3"/>
        </w:numPr>
      </w:pPr>
      <w:r>
        <w:rPr/>
        <w:t xml:space="preserve">Y. Yorozu, M. Hirano, K. Oka, and Y. Tagawa, “Electron spectroscopy studies on magneto-optical media and plastic substrate interfaces (Translation Journals style),” </w:t>
      </w:r>
      <w:r>
        <w:rPr>
          <w:i/>
          <w:iCs/>
        </w:rPr>
        <w:t>IEEE Transl. J. Magn.Jpn.</w:t>
      </w:r>
      <w:r>
        <w:rPr/>
        <w:t>, vol. 2, Aug. 1987, pp. 740–741 [</w:t>
      </w:r>
      <w:r>
        <w:rPr>
          <w:i/>
          <w:iCs/>
        </w:rPr>
        <w:t>Dig. 9</w:t>
      </w:r>
      <w:r>
        <w:rPr>
          <w:vertAlign w:val="superscript"/>
          <w:i/>
          <w:iCs/>
        </w:rPr>
        <w:t>th</w:t>
      </w:r>
      <w:r>
        <w:rPr>
          <w:i/>
          <w:iCs/>
        </w:rPr>
        <w:t xml:space="preserve"> Annu. Conf. Magnetics</w:t>
      </w:r>
      <w:r>
        <w:rPr/>
        <w:t xml:space="preserve"> Japan, 1982, p. 301].</w:t>
      </w:r>
    </w:p>
    <w:p>
      <w:pPr>
        <w:pStyle w:val="style33"/>
        <w:numPr>
          <w:ilvl w:val="0"/>
          <w:numId w:val="3"/>
        </w:numPr>
      </w:pPr>
      <w:r>
        <w:rPr/>
        <w:t xml:space="preserve">M. Young, </w:t>
      </w:r>
      <w:r>
        <w:rPr>
          <w:i/>
          <w:iCs/>
        </w:rPr>
        <w:t>The Techincal Writers Handbook.</w:t>
      </w:r>
      <w:r>
        <w:rPr/>
        <w:t xml:space="preserve">  Mill Valley, CA: University Science, 1989.</w:t>
      </w:r>
    </w:p>
    <w:p>
      <w:pPr>
        <w:pStyle w:val="style0"/>
        <w:numPr>
          <w:ilvl w:val="0"/>
          <w:numId w:val="3"/>
        </w:numPr>
      </w:pPr>
      <w:r>
        <w:rPr>
          <w:sz w:val="16"/>
          <w:szCs w:val="16"/>
        </w:rPr>
        <w:t xml:space="preserve">J. U. Duncombe, “Infrared navigation—Part I: An assessment of feasibility (Periodical style),” </w:t>
      </w:r>
      <w:r>
        <w:rPr>
          <w:sz w:val="16"/>
          <w:i/>
          <w:szCs w:val="16"/>
          <w:iCs/>
        </w:rPr>
        <w:t>IEEE Trans. Electron Devices</w:t>
      </w:r>
      <w:r>
        <w:rPr>
          <w:sz w:val="16"/>
          <w:szCs w:val="16"/>
        </w:rPr>
        <w:t>, vol. ED-11, pp. 34–39, Jan. 1959.</w:t>
      </w:r>
    </w:p>
    <w:p>
      <w:pPr>
        <w:pStyle w:val="style0"/>
        <w:numPr>
          <w:ilvl w:val="0"/>
          <w:numId w:val="3"/>
        </w:numPr>
      </w:pPr>
      <w:r>
        <w:rPr>
          <w:sz w:val="16"/>
          <w:szCs w:val="16"/>
        </w:rPr>
        <w:tab/>
        <w:t xml:space="preserve">S. Chen, B. Mulgrew, and P. M. Grant, “A clustering technique for digital communications channel equalization using radial basis function networks,” </w:t>
      </w:r>
      <w:r>
        <w:rPr>
          <w:sz w:val="16"/>
          <w:i/>
          <w:szCs w:val="16"/>
          <w:iCs/>
        </w:rPr>
        <w:t>IEEE Trans. Neural Networks</w:t>
      </w:r>
      <w:r>
        <w:rPr>
          <w:sz w:val="16"/>
          <w:szCs w:val="16"/>
        </w:rPr>
        <w:t>, vol. 4, pp. 570–578, Jul. 1993.</w:t>
      </w:r>
    </w:p>
    <w:p>
      <w:pPr>
        <w:pStyle w:val="style0"/>
        <w:numPr>
          <w:ilvl w:val="0"/>
          <w:numId w:val="3"/>
        </w:numPr>
      </w:pPr>
      <w:r>
        <w:rPr>
          <w:sz w:val="16"/>
          <w:szCs w:val="16"/>
        </w:rPr>
        <w:t xml:space="preserve">R. W. Lucky, “Automatic equalization for digital communication,” </w:t>
      </w:r>
      <w:r>
        <w:rPr>
          <w:sz w:val="16"/>
          <w:i/>
          <w:szCs w:val="16"/>
          <w:iCs/>
        </w:rPr>
        <w:t>Bell Syst. Tech. J.</w:t>
      </w:r>
      <w:r>
        <w:rPr>
          <w:sz w:val="16"/>
          <w:szCs w:val="16"/>
        </w:rPr>
        <w:t>, vol. 44, no. 4, pp. 547–588, Apr. 1965.</w:t>
      </w:r>
    </w:p>
    <w:p>
      <w:pPr>
        <w:pStyle w:val="style0"/>
        <w:numPr>
          <w:ilvl w:val="0"/>
          <w:numId w:val="3"/>
        </w:numPr>
      </w:pPr>
      <w:r>
        <w:rPr>
          <w:sz w:val="16"/>
          <w:szCs w:val="16"/>
        </w:rPr>
        <w:t xml:space="preserve">S. P. Bingulac, “On the compatibility of adaptive controllers (Published Conference Proceedings style),” in </w:t>
      </w:r>
      <w:r>
        <w:rPr>
          <w:sz w:val="16"/>
          <w:i/>
          <w:szCs w:val="16"/>
          <w:iCs/>
        </w:rPr>
        <w:t>Proc. 4th Annu. Allerton Conf. Circuits and Systems Theory</w:t>
      </w:r>
      <w:r>
        <w:rPr>
          <w:sz w:val="16"/>
          <w:szCs w:val="16"/>
        </w:rPr>
        <w:t>, New York, 1994, pp. 8–16.</w:t>
      </w:r>
    </w:p>
    <w:p>
      <w:pPr>
        <w:pStyle w:val="style0"/>
        <w:numPr>
          <w:ilvl w:val="0"/>
          <w:numId w:val="3"/>
        </w:numPr>
      </w:pPr>
      <w:r>
        <w:rPr>
          <w:sz w:val="16"/>
          <w:szCs w:val="16"/>
        </w:rPr>
        <w:t xml:space="preserve">G. R. Faulhaber, “Design of service systems with priority reservation,” in </w:t>
      </w:r>
      <w:r>
        <w:rPr>
          <w:sz w:val="16"/>
          <w:i/>
          <w:szCs w:val="16"/>
          <w:iCs/>
        </w:rPr>
        <w:t>Conf. Rec. 1995 IEEE Int. Conf. Communications,</w:t>
      </w:r>
      <w:r>
        <w:rPr>
          <w:sz w:val="16"/>
          <w:szCs w:val="16"/>
        </w:rPr>
        <w:t xml:space="preserve"> pp. 3–8.</w:t>
      </w:r>
    </w:p>
    <w:p>
      <w:pPr>
        <w:pStyle w:val="style0"/>
        <w:numPr>
          <w:ilvl w:val="0"/>
          <w:numId w:val="3"/>
        </w:numPr>
      </w:pPr>
      <w:r>
        <w:rPr>
          <w:sz w:val="16"/>
          <w:szCs w:val="16"/>
        </w:rPr>
        <w:t xml:space="preserve">W. D. Doyle, “Magnetization reversal in films with biaxial anisotropy,” in </w:t>
      </w:r>
      <w:r>
        <w:rPr>
          <w:sz w:val="16"/>
          <w:i/>
          <w:szCs w:val="16"/>
          <w:iCs/>
        </w:rPr>
        <w:t>1987 Proc. INTERMAG Conf.</w:t>
      </w:r>
      <w:r>
        <w:rPr>
          <w:sz w:val="16"/>
          <w:szCs w:val="16"/>
        </w:rPr>
        <w:t>, pp. 2.2-1–2.2-6.</w:t>
      </w:r>
    </w:p>
    <w:p>
      <w:pPr>
        <w:pStyle w:val="style0"/>
        <w:numPr>
          <w:ilvl w:val="0"/>
          <w:numId w:val="3"/>
        </w:numPr>
      </w:pPr>
      <w:r>
        <w:rPr>
          <w:sz w:val="16"/>
          <w:szCs w:val="16"/>
        </w:rPr>
        <w:t>G. W. Juette and L. E. Zeffanella, “Radio noise currents n short sections on bundle conductors (Presented Conference Paper style),” presented at the IEEE Summer power Meeting, Dallas, TX, Jun. 22–27, 1990, Paper 90 SM 690-0 PWRS.</w:t>
      </w:r>
    </w:p>
    <w:p>
      <w:pPr>
        <w:pStyle w:val="style33"/>
        <w:numPr>
          <w:ilvl w:val="0"/>
          <w:numId w:val="3"/>
        </w:numPr>
      </w:pPr>
      <w:r>
        <w:rPr/>
        <w:t>J. G. Kreifeldt, “An analysis of surface-detected EMG as an amplitude-modulated noise,” presented at the 1989 Int. Conf. Medicine and Biological Engineering, Chicago, IL.</w:t>
      </w:r>
    </w:p>
    <w:p>
      <w:pPr>
        <w:pStyle w:val="style33"/>
        <w:numPr>
          <w:ilvl w:val="0"/>
          <w:numId w:val="3"/>
        </w:numPr>
      </w:pPr>
      <w:r>
        <w:rPr/>
        <w:t xml:space="preserve">J. Williams, “Narrow-band analyzer (Thesis or Dissertation style),” Ph.D. dissertation, Dept. Elect. Eng., Harvard Univ., Cambridge, MA, 1993. </w:t>
      </w:r>
    </w:p>
    <w:p>
      <w:pPr>
        <w:pStyle w:val="style33"/>
        <w:numPr>
          <w:ilvl w:val="0"/>
          <w:numId w:val="3"/>
        </w:numPr>
      </w:pPr>
      <w:r>
        <w:rPr/>
        <w:t>N. Kawasaki, “Parametric study of thermal and chemical nonequilibrium nozzle flow,” M.S. thesis, Dept. Electron. Eng., Osaka Univ., Osaka, Japan, 1993.</w:t>
      </w:r>
    </w:p>
    <w:p>
      <w:pPr>
        <w:pStyle w:val="style33"/>
        <w:numPr>
          <w:ilvl w:val="0"/>
          <w:numId w:val="3"/>
        </w:numPr>
      </w:pPr>
      <w:r>
        <w:rPr/>
        <w:t xml:space="preserve">J. P. Wilkinson, “Nonlinear resonant circuit devices (Patent style),” U.S. Patent 3 624 12, July 16, 1990. </w:t>
      </w:r>
    </w:p>
    <w:p>
      <w:pPr>
        <w:pStyle w:val="style33"/>
        <w:numPr>
          <w:ilvl w:val="0"/>
          <w:numId w:val="3"/>
        </w:numPr>
      </w:pPr>
      <w:r>
        <w:rPr>
          <w:i/>
          <w:iCs/>
        </w:rPr>
        <w:t xml:space="preserve">IEEE Criteria for Class IE Electric Systems </w:t>
      </w:r>
      <w:r>
        <w:rPr/>
        <w:t>(Standards style)</w:t>
      </w:r>
      <w:r>
        <w:rPr>
          <w:i/>
          <w:iCs/>
        </w:rPr>
        <w:t>,</w:t>
      </w:r>
      <w:r>
        <w:rPr/>
        <w:t xml:space="preserve"> IEEE Standard 308, 1969.</w:t>
      </w:r>
    </w:p>
    <w:p>
      <w:pPr>
        <w:pStyle w:val="style33"/>
        <w:numPr>
          <w:ilvl w:val="0"/>
          <w:numId w:val="3"/>
        </w:numPr>
      </w:pPr>
      <w:r>
        <w:rPr>
          <w:i/>
          <w:iCs/>
        </w:rPr>
        <w:t>Letter Symbols for Quantities</w:t>
      </w:r>
      <w:r>
        <w:rPr/>
        <w:t>, ANSI Standard Y10.5-1968.</w:t>
      </w:r>
    </w:p>
    <w:p>
      <w:pPr>
        <w:pStyle w:val="style33"/>
        <w:numPr>
          <w:ilvl w:val="0"/>
          <w:numId w:val="3"/>
        </w:numPr>
      </w:pPr>
      <w:r>
        <w:rPr/>
        <w:t>R. E. Haskell and C. T. Case, “Transient signal propagation in lossless isotropic plasmas (Report style),” USAF Cambridge Res. Lab., Cambridge, MA Rep. ARCRL-66-234 (II), 1994, vol. 2.</w:t>
      </w:r>
    </w:p>
    <w:p>
      <w:pPr>
        <w:pStyle w:val="style33"/>
        <w:numPr>
          <w:ilvl w:val="0"/>
          <w:numId w:val="3"/>
        </w:numPr>
      </w:pPr>
      <w:r>
        <w:rPr/>
        <w:t>E. E. Reber, R. L. Michell, and C. J. Carter, “Oxygen absorption in the Earth’s atmosphere,” Aerospace Corp., Los Angeles, CA, Tech. Rep. TR-0200 (420-46)-3, Nov. 1988.</w:t>
      </w:r>
    </w:p>
    <w:p>
      <w:pPr>
        <w:pStyle w:val="style33"/>
        <w:numPr>
          <w:ilvl w:val="0"/>
          <w:numId w:val="3"/>
        </w:numPr>
      </w:pPr>
      <w:r>
        <w:rPr/>
        <w:t xml:space="preserve">(Handbook style) </w:t>
      </w:r>
      <w:r>
        <w:rPr>
          <w:i/>
          <w:iCs/>
        </w:rPr>
        <w:t>Transmission Systems for Communications,</w:t>
      </w:r>
      <w:r>
        <w:rPr/>
        <w:t xml:space="preserve"> 3rd ed., Western Electric Co., Winston-Salem, NC, 1985, pp. 44–60.</w:t>
      </w:r>
    </w:p>
    <w:p>
      <w:pPr>
        <w:pStyle w:val="style33"/>
        <w:numPr>
          <w:ilvl w:val="0"/>
          <w:numId w:val="3"/>
        </w:numPr>
      </w:pPr>
      <w:r>
        <w:rPr/>
        <w:tab/>
      </w:r>
      <w:r>
        <w:rPr>
          <w:i/>
          <w:iCs/>
        </w:rPr>
        <w:t>Motorola Semiconductor Data Manual,</w:t>
      </w:r>
      <w:r>
        <w:rPr/>
        <w:t xml:space="preserve"> Motorola Semiconductor Products Inc., Phoenix, AZ, 1989.</w:t>
      </w:r>
    </w:p>
    <w:p>
      <w:pPr>
        <w:pStyle w:val="style33"/>
        <w:numPr>
          <w:ilvl w:val="0"/>
          <w:numId w:val="3"/>
        </w:numPr>
      </w:pPr>
      <w:r>
        <w:rPr/>
        <w:t xml:space="preserve">(Basic Book/Monograph Online Sources) J. K. Author. (year, month, day). </w:t>
      </w:r>
      <w:r>
        <w:rPr>
          <w:i/>
          <w:iCs/>
        </w:rPr>
        <w:t>Title</w:t>
      </w:r>
      <w:r>
        <w:rPr/>
        <w:t xml:space="preserve"> (edition) [Type of medium]. Volume (issue).</w:t>
        <w:tab/>
        <w:t xml:space="preserve"> Available: </w:t>
      </w:r>
      <w:hyperlink r:id="rId3">
        <w:r>
          <w:rPr>
            <w:rStyle w:val="style18"/>
            <w:rStyle w:val="style10"/>
          </w:rPr>
          <w:t>http://www.(URL</w:t>
        </w:r>
      </w:hyperlink>
      <w:r>
        <w:rPr/>
        <w:t>)</w:t>
      </w:r>
    </w:p>
    <w:p>
      <w:pPr>
        <w:pStyle w:val="style33"/>
        <w:numPr>
          <w:ilvl w:val="0"/>
          <w:numId w:val="3"/>
        </w:numPr>
      </w:pPr>
      <w:r>
        <w:rPr/>
        <w:t xml:space="preserve">J. Jones. (1991, May 10). Networks (2nd ed.) [Online]. Available: </w:t>
      </w:r>
      <w:hyperlink r:id="rId4">
        <w:r>
          <w:rPr>
            <w:rStyle w:val="style18"/>
            <w:rStyle w:val="style18"/>
          </w:rPr>
          <w:t>http://www.atm.com</w:t>
        </w:r>
      </w:hyperlink>
    </w:p>
    <w:p>
      <w:pPr>
        <w:pStyle w:val="style33"/>
        <w:numPr>
          <w:ilvl w:val="0"/>
          <w:numId w:val="3"/>
        </w:numPr>
      </w:pPr>
      <w:r>
        <w:rPr/>
        <w:t xml:space="preserve">(Journal Online Sources style) K. Author. (year, month). Title. </w:t>
      </w:r>
      <w:r>
        <w:rPr>
          <w:i/>
          <w:iCs/>
        </w:rPr>
        <w:t>Journal</w:t>
      </w:r>
      <w:r>
        <w:rPr/>
        <w:t xml:space="preserve"> [Type of medium]. Volume(issue), paging if given.</w:t>
        <w:tab/>
        <w:t xml:space="preserve">  Available: </w:t>
      </w:r>
      <w:hyperlink r:id="rId5">
        <w:r>
          <w:rPr>
            <w:rStyle w:val="style18"/>
            <w:rStyle w:val="style10"/>
          </w:rPr>
          <w:t>http://www.(URL</w:t>
        </w:r>
      </w:hyperlink>
      <w:r>
        <w:rPr/>
        <w:t>)</w:t>
      </w:r>
    </w:p>
    <w:p>
      <w:pPr>
        <w:pStyle w:val="style33"/>
        <w:numPr>
          <w:ilvl w:val="0"/>
          <w:numId w:val="3"/>
        </w:numPr>
      </w:pPr>
      <w:r>
        <w:rPr/>
        <w:t xml:space="preserve">R. J. Vidmar. (1992, August). On the use of atmospheric plasmas as electromagnetic reflectors. </w:t>
      </w:r>
      <w:r>
        <w:rPr>
          <w:i/>
          <w:iCs/>
        </w:rPr>
        <w:t>IEEE Trans. Plasma Sci.</w:t>
      </w:r>
      <w:r>
        <w:rPr/>
        <w:t xml:space="preserve"> [Online]. </w:t>
      </w:r>
      <w:r>
        <w:rPr>
          <w:i/>
          <w:iCs/>
        </w:rPr>
        <w:t>21(3).</w:t>
      </w:r>
      <w:r>
        <w:rPr/>
        <w:t xml:space="preserve"> pp. 876–880.   Available: http://www.halcyon.com/pub/journals/21ps03-vidmar</w:t>
      </w:r>
    </w:p>
    <w:p>
      <w:pPr>
        <w:pStyle w:val="style37"/>
      </w:pPr>
      <w:r>
        <w:rPr>
          <w:b/>
          <w:bCs/>
        </w:rPr>
      </w:r>
    </w:p>
    <w:p>
      <w:pPr>
        <w:pStyle w:val="style37"/>
      </w:pPr>
      <w:r>
        <w:rPr>
          <w:b/>
          <w:bCs/>
        </w:rPr>
      </w:r>
    </w:p>
    <w:p>
      <w:pPr>
        <w:pStyle w:val="style37"/>
      </w:pPr>
      <w:r>
        <w:rPr>
          <w:b/>
          <w:bCs/>
        </w:rPr>
      </w:r>
    </w:p>
    <w:p>
      <w:pPr>
        <w:pStyle w:val="style37"/>
      </w:pPr>
      <w:r>
        <w:rPr>
          <w:b/>
          <w:bCs/>
        </w:rPr>
      </w:r>
    </w:p>
    <w:p>
      <w:pPr>
        <w:pStyle w:val="style37"/>
      </w:pPr>
      <w:r>
        <w:rPr>
          <w:b/>
          <w:bCs/>
        </w:rPr>
      </w:r>
    </w:p>
    <w:p>
      <w:pPr>
        <w:pStyle w:val="style37"/>
      </w:pPr>
      <w:r>
        <w:rPr>
          <w:b/>
          <w:bCs/>
        </w:rPr>
        <w:t>First A. Author</w:t>
      </w:r>
      <w:r>
        <w:rP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degree was earned. The author’s major field of study should be lower-cased.</w:t>
      </w:r>
    </w:p>
    <w:p>
      <w:pPr>
        <w:pStyle w:val="style37"/>
      </w:pPr>
      <w:r>
        <w:rP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pPr>
        <w:pStyle w:val="style37"/>
      </w:pPr>
      <w:r>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formProt w:val="false"/>
      <w:pgSz w:h="15840" w:w="12240"/>
      <w:cols w:equalWidth="true" w:num="2" w:sep="true" w:space="288"/>
      <w:docGrid w:charSpace="0" w:linePitch="360" w:type="default"/>
      <w:textDirection w:val="lrTb"/>
      <w:pgNumType w:fmt="decimal"/>
      <w:type w:val="nextPage"/>
      <w:headerReference r:id="rId6"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32"/>
      </w:pPr>
      <w:r>
        <w:rPr/>
        <w:tab/>
        <w:t>Manuscript received October 9, 2001. (Write the date on which you submitted your paper for review.) This work was supported in part by the U.S. Depart</w:t>
        <w:t>ment of Com</w:t>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pPr>
        <w:pStyle w:val="style32"/>
      </w:pPr>
      <w:r>
        <w:rPr/>
        <w:tab/>
        <w:t xml:space="preserve">F. A. Author is with the National Institute of Standards and Technology, Boulder, CO 80305 USA (corresponding author to provide phone: 303-555-5555; fax: 303-555-5555; e-mail: author@ boulder.nist.gov). </w:t>
      </w:r>
    </w:p>
    <w:p>
      <w:pPr>
        <w:pStyle w:val="style32"/>
      </w:pPr>
      <w:r>
        <w:rPr/>
        <w:tab/>
        <w:t>S. B. Author, Jr., was with Rice University, Houston, TX 77005 USA. He is now with the Department of Physics, Colorado State University, Fort Collins, CO 80523 USA (e-mail: author@lamar.colostate.edu).</w:t>
      </w:r>
    </w:p>
    <w:p>
      <w:pPr>
        <w:pStyle w:val="style32"/>
      </w:pPr>
      <w:r>
        <w:rPr/>
        <w:tab/>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hanging="0" w:left="0" w:right="360"/>
    </w:pPr>
    <w:r>
      <w:rPr/>
      <w:t>&gt; REPLACE THIS LINE WITH YOUR PAPER IDENTIFICATION NUMBER (DOUBLE-CLICK HERE TO EDIT) &lt;</w:t>
    </w:r>
  </w:p>
  <w:p>
    <w:pPr>
      <w:pStyle w:val="style0"/>
      <w:shd w:fill="FFFFFF"/>
      <w:framePr w:h="210" w:hAnchor="page" w:hRule="atLeast" w:vAnchor="margin" w:wrap="around" w:xAlign="right" w:y="1"/>
    </w:pPr>
    <w:r>
      <w:fldChar w:fldCharType="begin"/>
    </w:r>
    <w:r>
      <w:rPr/>
      <w:fldChar w:fldCharType="begin"/>
    </w:r>
    <w:r>
      <w:instrText> PAGE </w:instrText>
    </w:r>
    <w:r>
      <w:fldChar w:fldCharType="separate"/>
    </w:r>
    <w:r>
      <w:t>2</w:t>
    </w:r>
    <w:r>
      <w:fldChar w:fldCharType="end"/>
    </w:r>
  </w:p>
  <w:p>
    <w:pPr>
      <w:pStyle w:val="style0"/>
      <w:ind w:hanging="0" w:left="0" w:right="360"/>
    </w:pPr>
    <w:r>
      <w:rPr/>
    </w:r>
  </w:p>
</w:hdr>
</file>

<file path=word/numbering.xml><?xml version="1.0" encoding="utf-8"?>
<w:numbering xmlns:w="http://schemas.openxmlformats.org/wordprocessingml/2006/main">
  <w:abstractNum w:abstractNumId="1">
    <w:lvl w:ilvl="0">
      <w:start w:val="1"/>
      <w:numFmt w:val="upperRoman"/>
      <w:lvlJc w:val="left"/>
      <w:lvlText w:val="%1."/>
      <w:pPr>
        <w:ind w:hanging="0" w:left="0"/>
      </w:pPr>
    </w:lvl>
    <w:lvl w:ilvl="1">
      <w:start w:val="1"/>
      <w:numFmt w:val="upperLetter"/>
      <w:lvlJc w:val="left"/>
      <w:lvlText w:val="%2."/>
      <w:pPr>
        <w:ind w:hanging="0" w:left="0"/>
      </w:pPr>
    </w:lvl>
    <w:lvl w:ilvl="2">
      <w:start w:val="1"/>
      <w:numFmt w:val="decimal"/>
      <w:lvlJc w:val="left"/>
      <w:lvlText w:val="%3)"/>
      <w:pPr>
        <w:ind w:hanging="0" w:left="0"/>
      </w:pPr>
    </w:lvl>
    <w:lvl w:ilvl="3">
      <w:start w:val="1"/>
      <w:numFmt w:val="lowerLetter"/>
      <w:lvlJc w:val="left"/>
      <w:lvlText w:val="%4)"/>
      <w:pPr>
        <w:ind w:hanging="720" w:left="1152"/>
      </w:pPr>
    </w:lvl>
    <w:lvl w:ilvl="4">
      <w:start w:val="1"/>
      <w:numFmt w:val="decimal"/>
      <w:lvlJc w:val="left"/>
      <w:lvlText w:val="(%5)"/>
      <w:pPr>
        <w:ind w:hanging="720" w:left="1872"/>
      </w:pPr>
    </w:lvl>
    <w:lvl w:ilvl="5">
      <w:start w:val="1"/>
      <w:numFmt w:val="lowerLetter"/>
      <w:lvlJc w:val="left"/>
      <w:lvlText w:val="(%6)"/>
      <w:pPr>
        <w:ind w:hanging="720" w:left="2592"/>
      </w:pPr>
    </w:lvl>
    <w:lvl w:ilvl="6">
      <w:start w:val="1"/>
      <w:numFmt w:val="lowerRoman"/>
      <w:lvlJc w:val="left"/>
      <w:lvlText w:val="(%7)"/>
      <w:pPr>
        <w:ind w:hanging="720" w:left="3312"/>
      </w:pPr>
    </w:lvl>
    <w:lvl w:ilvl="7">
      <w:start w:val="1"/>
      <w:numFmt w:val="lowerLetter"/>
      <w:lvlJc w:val="left"/>
      <w:lvlText w:val="(%8)"/>
      <w:pPr>
        <w:ind w:hanging="720" w:left="4032"/>
      </w:pPr>
    </w:lvl>
    <w:lvl w:ilvl="8">
      <w:start w:val="1"/>
      <w:numFmt w:val="lowerRoman"/>
      <w:lvlJc w:val="left"/>
      <w:lvlText w:val="(%9)"/>
      <w:pPr>
        <w:ind w:hanging="720" w:left="4752"/>
      </w:pPr>
    </w:lvl>
  </w:abstractNum>
  <w:abstractNum w:abstractNumId="2">
    <w:lvl w:ilvl="0">
      <w:start w:val="1"/>
      <w:numFmt w:val="decimal"/>
      <w:lvlJc w:val="left"/>
      <w:lvlText w:val="[%1]"/>
      <w:pPr>
        <w:ind w:hanging="360" w:left="360"/>
      </w:pPr>
    </w:lvl>
  </w:abstractNum>
  <w:abstractNum w:abstractNumId="3">
    <w:lvl w:ilvl="0">
      <w:start w:val="1"/>
      <w:numFmt w:val="decimal"/>
      <w:lvlJc w:val="left"/>
      <w:lvlText w:val="[%1]"/>
      <w:pPr>
        <w:ind w:hanging="360" w:left="36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autoSpaceDE w:val="false"/>
      <w:tabs>
        <w:tab w:leader="none" w:pos="202" w:val="left"/>
      </w:tabs>
      <w:suppressAutoHyphens w:val="true"/>
      <w:docGrid w:charSpace="2048" w:linePitch="312" w:type="default"/>
    </w:pPr>
    <w:rPr>
      <w:color w:val="auto"/>
      <w:sz w:val="20"/>
      <w:szCs w:val="20"/>
      <w:rFonts w:ascii="Times New Roman" w:cs="Times New Roman" w:eastAsia="Times New Roman" w:hAnsi="Times New Roman"/>
      <w:lang w:bidi="ar-SA" w:eastAsia="zh-CN" w:val="en-US"/>
    </w:rPr>
  </w:style>
  <w:style w:styleId="style1" w:type="paragraph">
    <w:name w:val="Heading 1"/>
    <w:basedOn w:val="style0"/>
    <w:next w:val="style0"/>
    <w:pPr>
      <w:outlineLvl w:val="0"/>
      <w:numPr>
        <w:ilvl w:val="0"/>
        <w:numId w:val="1"/>
      </w:numPr>
      <w:jc w:val="center"/>
      <w:tabs/>
      <w:keepNext/>
      <w:spacing w:after="80" w:before="240"/>
    </w:pPr>
    <w:rPr>
      <w:smallCaps/>
    </w:rPr>
  </w:style>
  <w:style w:styleId="style2" w:type="paragraph">
    <w:name w:val="Heading 2"/>
    <w:basedOn w:val="style0"/>
    <w:next w:val="style0"/>
    <w:pPr>
      <w:outlineLvl w:val="1"/>
      <w:numPr>
        <w:ilvl w:val="1"/>
        <w:numId w:val="1"/>
      </w:numPr>
      <w:tabs/>
      <w:ind w:hanging="0" w:left="144" w:right="0"/>
      <w:keepNext/>
      <w:spacing w:after="60" w:before="120"/>
    </w:pPr>
    <w:rPr>
      <w:i/>
      <w:iCs/>
    </w:rPr>
  </w:style>
  <w:style w:styleId="style3" w:type="paragraph">
    <w:name w:val="Heading 3"/>
    <w:basedOn w:val="style0"/>
    <w:next w:val="style0"/>
    <w:pPr>
      <w:outlineLvl w:val="2"/>
      <w:numPr>
        <w:ilvl w:val="2"/>
        <w:numId w:val="1"/>
      </w:numPr>
      <w:tabs/>
      <w:ind w:hanging="0" w:left="288" w:right="0"/>
      <w:keepNext/>
    </w:pPr>
    <w:rPr>
      <w:i/>
      <w:iCs/>
    </w:rPr>
  </w:style>
  <w:style w:styleId="style4" w:type="paragraph">
    <w:name w:val="Heading 4"/>
    <w:basedOn w:val="style0"/>
    <w:next w:val="style0"/>
    <w:pPr>
      <w:outlineLvl w:val="3"/>
      <w:numPr>
        <w:ilvl w:val="3"/>
        <w:numId w:val="1"/>
      </w:numPr>
      <w:tabs/>
      <w:ind w:hanging="720" w:left="1152" w:right="0"/>
      <w:keepNext/>
      <w:spacing w:after="60" w:before="240"/>
    </w:pPr>
    <w:rPr>
      <w:sz w:val="18"/>
      <w:i/>
      <w:szCs w:val="18"/>
      <w:iCs/>
    </w:rPr>
  </w:style>
  <w:style w:styleId="style5" w:type="paragraph">
    <w:name w:val="Heading 5"/>
    <w:basedOn w:val="style0"/>
    <w:next w:val="style0"/>
    <w:pPr>
      <w:outlineLvl w:val="4"/>
      <w:numPr>
        <w:ilvl w:val="4"/>
        <w:numId w:val="1"/>
      </w:numPr>
      <w:tabs/>
      <w:ind w:hanging="720" w:left="1872" w:right="0"/>
      <w:spacing w:after="60" w:before="240"/>
    </w:pPr>
    <w:rPr>
      <w:sz w:val="18"/>
      <w:szCs w:val="18"/>
    </w:rPr>
  </w:style>
  <w:style w:styleId="style6" w:type="paragraph">
    <w:name w:val="Heading 6"/>
    <w:basedOn w:val="style0"/>
    <w:next w:val="style0"/>
    <w:pPr>
      <w:outlineLvl w:val="5"/>
      <w:numPr>
        <w:ilvl w:val="5"/>
        <w:numId w:val="1"/>
      </w:numPr>
      <w:tabs/>
      <w:ind w:hanging="720" w:left="2592" w:right="0"/>
      <w:spacing w:after="60" w:before="240"/>
    </w:pPr>
    <w:rPr>
      <w:sz w:val="16"/>
      <w:i/>
      <w:szCs w:val="16"/>
      <w:iCs/>
    </w:rPr>
  </w:style>
  <w:style w:styleId="style7" w:type="paragraph">
    <w:name w:val="Heading 7"/>
    <w:basedOn w:val="style0"/>
    <w:next w:val="style0"/>
    <w:pPr>
      <w:outlineLvl w:val="6"/>
      <w:numPr>
        <w:ilvl w:val="6"/>
        <w:numId w:val="1"/>
      </w:numPr>
      <w:tabs/>
      <w:ind w:hanging="720" w:left="3312" w:right="0"/>
      <w:spacing w:after="60" w:before="240"/>
    </w:pPr>
    <w:rPr>
      <w:sz w:val="16"/>
      <w:szCs w:val="16"/>
    </w:rPr>
  </w:style>
  <w:style w:styleId="style8" w:type="paragraph">
    <w:name w:val="Heading 8"/>
    <w:basedOn w:val="style0"/>
    <w:next w:val="style0"/>
    <w:pPr>
      <w:outlineLvl w:val="7"/>
      <w:numPr>
        <w:ilvl w:val="7"/>
        <w:numId w:val="1"/>
      </w:numPr>
      <w:tabs/>
      <w:ind w:hanging="720" w:left="4032" w:right="0"/>
      <w:spacing w:after="60" w:before="240"/>
    </w:pPr>
    <w:rPr>
      <w:sz w:val="16"/>
      <w:i/>
      <w:szCs w:val="16"/>
      <w:iCs/>
    </w:rPr>
  </w:style>
  <w:style w:styleId="style9" w:type="paragraph">
    <w:name w:val="Heading 9"/>
    <w:basedOn w:val="style0"/>
    <w:next w:val="style0"/>
    <w:pPr>
      <w:outlineLvl w:val="8"/>
      <w:numPr>
        <w:ilvl w:val="8"/>
        <w:numId w:val="1"/>
      </w:numPr>
      <w:tabs/>
      <w:ind w:hanging="720" w:left="4752" w:right="0"/>
      <w:spacing w:after="60" w:before="240"/>
    </w:pPr>
    <w:rPr>
      <w:sz w:val="16"/>
      <w:szCs w:val="16"/>
    </w:rPr>
  </w:style>
  <w:style w:styleId="style15" w:type="character">
    <w:name w:val="Default Paragraph Font"/>
    <w:next w:val="style15"/>
    <w:rPr/>
  </w:style>
  <w:style w:styleId="style16" w:type="character">
    <w:name w:val="MemberType"/>
    <w:basedOn w:val="style15"/>
    <w:next w:val="style16"/>
    <w:rPr>
      <w:sz w:val="22"/>
      <w:i/>
      <w:szCs w:val="22"/>
      <w:iCs/>
      <w:rFonts w:ascii="Times New Roman" w:cs="Times New Roman" w:hAnsi="Times New Roman"/>
    </w:rPr>
  </w:style>
  <w:style w:styleId="style17" w:type="character">
    <w:name w:val="Footnote Characters"/>
    <w:basedOn w:val="style15"/>
    <w:next w:val="style17"/>
    <w:rPr>
      <w:vertAlign w:val="superscript"/>
    </w:rPr>
  </w:style>
  <w:style w:styleId="style18" w:type="character">
    <w:name w:val="Internet Link"/>
    <w:basedOn w:val="style15"/>
    <w:next w:val="style18"/>
    <w:rPr>
      <w:color w:val="0000FF"/>
      <w:u w:val="single"/>
    </w:rPr>
  </w:style>
  <w:style w:styleId="style19" w:type="character">
    <w:name w:val="Visited Internet Link"/>
    <w:basedOn w:val="style15"/>
    <w:next w:val="style19"/>
    <w:rPr>
      <w:color w:val="800080"/>
      <w:u w:val="single"/>
    </w:rPr>
  </w:style>
  <w:style w:styleId="style20" w:type="character">
    <w:name w:val="A5"/>
    <w:next w:val="style20"/>
    <w:rPr>
      <w:color w:val="00529F"/>
      <w:sz w:val="20"/>
      <w:szCs w:val="20"/>
    </w:rPr>
  </w:style>
  <w:style w:styleId="style21" w:type="character">
    <w:name w:val="WW8Dropcap0"/>
    <w:next w:val="style21"/>
    <w:rPr>
      <w:sz w:val="56"/>
      <w:szCs w:val="56"/>
    </w:rPr>
  </w:style>
  <w:style w:styleId="style22" w:type="character">
    <w:name w:val="Footnote anchor"/>
    <w:next w:val="style22"/>
    <w:rPr>
      <w:vertAlign w:val="superscript"/>
    </w:rPr>
  </w:style>
  <w:style w:styleId="style23" w:type="character">
    <w:name w:val="Endnote anchor"/>
    <w:next w:val="style23"/>
    <w:rPr>
      <w:vertAlign w:val="superscript"/>
    </w:rPr>
  </w:style>
  <w:style w:styleId="style24" w:type="character">
    <w:name w:val="Endnote Characters"/>
    <w:next w:val="style24"/>
    <w:rPr/>
  </w:style>
  <w:style w:styleId="style25" w:type="paragraph">
    <w:name w:val="Heading"/>
    <w:basedOn w:val="style0"/>
    <w:next w:val="style0"/>
    <w:pPr>
      <w:jc w:val="center"/>
    </w:pPr>
    <w:rPr>
      <w:sz w:val="48"/>
      <w:szCs w:val="48"/>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sz w:val="24"/>
      <w:i/>
      <w:szCs w:val="24"/>
      <w:iCs/>
      <w:rFonts w:cs="Lohit Hindi"/>
    </w:rPr>
  </w:style>
  <w:style w:styleId="style29" w:type="paragraph">
    <w:name w:val="Index"/>
    <w:basedOn w:val="style0"/>
    <w:next w:val="style29"/>
    <w:pPr>
      <w:suppressLineNumbers/>
    </w:pPr>
    <w:rPr>
      <w:rFonts w:cs="Lohit Hindi"/>
    </w:rPr>
  </w:style>
  <w:style w:styleId="style30" w:type="paragraph">
    <w:name w:val="Abstract"/>
    <w:basedOn w:val="style0"/>
    <w:next w:val="style0"/>
    <w:pPr>
      <w:jc w:val="both"/>
      <w:ind w:firstLine="202" w:left="0" w:right="0"/>
      <w:spacing w:after="0" w:before="20"/>
    </w:pPr>
    <w:rPr>
      <w:sz w:val="18"/>
      <w:b/>
      <w:szCs w:val="18"/>
      <w:bCs/>
    </w:rPr>
  </w:style>
  <w:style w:styleId="style31" w:type="paragraph">
    <w:name w:val="Authors"/>
    <w:basedOn w:val="style0"/>
    <w:next w:val="style0"/>
    <w:pPr>
      <w:jc w:val="center"/>
      <w:spacing w:after="320" w:before="0"/>
    </w:pPr>
    <w:rPr>
      <w:sz w:val="22"/>
      <w:szCs w:val="22"/>
    </w:rPr>
  </w:style>
  <w:style w:styleId="style32" w:type="paragraph">
    <w:name w:val="Footnote"/>
    <w:basedOn w:val="style0"/>
    <w:next w:val="style32"/>
    <w:pPr>
      <w:jc w:val="both"/>
      <w:ind w:firstLine="202" w:left="0" w:right="0"/>
    </w:pPr>
    <w:rPr>
      <w:sz w:val="16"/>
      <w:szCs w:val="16"/>
    </w:rPr>
  </w:style>
  <w:style w:styleId="style33" w:type="paragraph">
    <w:name w:val="References"/>
    <w:basedOn w:val="style0"/>
    <w:next w:val="style33"/>
    <w:pPr>
      <w:numPr>
        <w:ilvl w:val="0"/>
        <w:numId w:val="2"/>
      </w:numPr>
      <w:jc w:val="both"/>
      <w:ind w:hanging="360" w:left="360" w:right="0"/>
    </w:pPr>
    <w:rPr>
      <w:sz w:val="16"/>
      <w:szCs w:val="16"/>
    </w:rPr>
  </w:style>
  <w:style w:styleId="style34" w:type="paragraph">
    <w:name w:val="IndexTerms"/>
    <w:basedOn w:val="style0"/>
    <w:next w:val="style0"/>
    <w:pPr>
      <w:jc w:val="both"/>
      <w:ind w:firstLine="202" w:left="0" w:right="0"/>
    </w:pPr>
    <w:rPr>
      <w:sz w:val="18"/>
      <w:b/>
      <w:szCs w:val="18"/>
      <w:bCs/>
    </w:rPr>
  </w:style>
  <w:style w:styleId="style35" w:type="paragraph">
    <w:name w:val="Footer"/>
    <w:basedOn w:val="style0"/>
    <w:next w:val="style35"/>
    <w:pPr>
      <w:tabs>
        <w:tab w:leader="none" w:pos="4320" w:val="center"/>
        <w:tab w:leader="none" w:pos="8640" w:val="right"/>
      </w:tabs>
    </w:pPr>
    <w:rPr/>
  </w:style>
  <w:style w:styleId="style36" w:type="paragraph">
    <w:name w:val="Text"/>
    <w:basedOn w:val="style0"/>
    <w:next w:val="style36"/>
    <w:pPr>
      <w:jc w:val="both"/>
      <w:widowControl w:val="false"/>
      <w:ind w:firstLine="202" w:left="0" w:right="0"/>
      <w:spacing w:line="252" w:lineRule="atLeast"/>
    </w:pPr>
    <w:rPr/>
  </w:style>
  <w:style w:styleId="style37" w:type="paragraph">
    <w:name w:val="Figure Caption"/>
    <w:basedOn w:val="style0"/>
    <w:next w:val="style37"/>
    <w:pPr>
      <w:jc w:val="both"/>
    </w:pPr>
    <w:rPr>
      <w:sz w:val="16"/>
      <w:szCs w:val="16"/>
    </w:rPr>
  </w:style>
  <w:style w:styleId="style38" w:type="paragraph">
    <w:name w:val="Table Title"/>
    <w:basedOn w:val="style0"/>
    <w:next w:val="style38"/>
    <w:pPr>
      <w:jc w:val="center"/>
    </w:pPr>
    <w:rPr>
      <w:smallCaps/>
      <w:sz w:val="16"/>
      <w:szCs w:val="16"/>
    </w:rPr>
  </w:style>
  <w:style w:styleId="style39" w:type="paragraph">
    <w:name w:val="Reference Head"/>
    <w:basedOn w:val="style1"/>
    <w:next w:val="style39"/>
    <w:pPr>
      <w:ind w:hanging="0" w:left="0" w:right="0"/>
    </w:pPr>
    <w:rPr/>
  </w:style>
  <w:style w:styleId="style40" w:type="paragraph">
    <w:name w:val="Header"/>
    <w:basedOn w:val="style0"/>
    <w:next w:val="style40"/>
    <w:pPr>
      <w:tabs>
        <w:tab w:leader="none" w:pos="4320" w:val="center"/>
        <w:tab w:leader="none" w:pos="8640" w:val="right"/>
      </w:tabs>
    </w:pPr>
    <w:rPr/>
  </w:style>
  <w:style w:styleId="style41" w:type="paragraph">
    <w:name w:val="Equation"/>
    <w:basedOn w:val="style0"/>
    <w:next w:val="style0"/>
    <w:pPr>
      <w:jc w:val="both"/>
      <w:widowControl w:val="false"/>
      <w:tabs>
        <w:tab w:leader="none" w:pos="5040" w:val="right"/>
      </w:tabs>
      <w:spacing w:line="252" w:lineRule="atLeast"/>
    </w:pPr>
    <w:rPr/>
  </w:style>
  <w:style w:styleId="style42" w:type="paragraph">
    <w:name w:val="Text body indent"/>
    <w:basedOn w:val="style0"/>
    <w:next w:val="style42"/>
    <w:pPr>
      <w:ind w:hanging="630" w:left="630" w:right="0"/>
    </w:pPr>
    <w:rPr>
      <w:szCs w:val="24"/>
    </w:rPr>
  </w:style>
  <w:style w:styleId="style43" w:type="paragraph">
    <w:name w:val="Document Map"/>
    <w:basedOn w:val="style0"/>
    <w:next w:val="style43"/>
    <w:pPr>
      <w:shd w:fill="000080"/>
    </w:pPr>
    <w:rPr>
      <w:rFonts w:ascii="Tahoma" w:cs="Tahoma" w:hAnsi="Tahoma"/>
    </w:rPr>
  </w:style>
  <w:style w:styleId="style44" w:type="paragraph">
    <w:name w:val="Pa0"/>
    <w:basedOn w:val="style0"/>
    <w:next w:val="style0"/>
    <w:pPr>
      <w:widowControl w:val="false"/>
      <w:spacing w:line="241" w:lineRule="atLeast"/>
    </w:pPr>
    <w:rPr>
      <w:sz w:val="24"/>
      <w:szCs w:val="24"/>
      <w:rFonts w:ascii="Baskerville;Courier" w:cs="Baskerville;Courier" w:hAnsi="Baskerville;Courier"/>
      <w:lang w:bidi="en-CA"/>
    </w:rPr>
  </w:style>
  <w:style w:styleId="style45" w:type="paragraph">
    <w:name w:val="Frame contents"/>
    <w:basedOn w:val="style26"/>
    <w:next w:val="style45"/>
    <w:pPr/>
    <w:rPr/>
  </w:style>
  <w:style w:styleId="style46" w:type="paragraph">
    <w:name w:val="Table Contents"/>
    <w:basedOn w:val="style0"/>
    <w:next w:val="style46"/>
    <w:pPr>
      <w:suppressLineNumbers/>
    </w:pPr>
    <w:rPr/>
  </w:style>
  <w:style w:styleId="style47" w:type="paragraph">
    <w:name w:val="Table Heading"/>
    <w:basedOn w:val="style46"/>
    <w:next w:val="style47"/>
    <w:pPr>
      <w:jc w:val="center"/>
      <w:suppressLineNumbers/>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eee.org/organizations/pubs/ani_prod/keywrd98.txt" TargetMode="External"/><Relationship Id="rId3" Type="http://schemas.openxmlformats.org/officeDocument/2006/relationships/hyperlink" Target="" TargetMode="External"/><Relationship Id="rId4" Type="http://schemas.openxmlformats.org/officeDocument/2006/relationships/hyperlink" Target="http://www.atm.com/" TargetMode="External"/><Relationship Id="rId5" Type="http://schemas.openxmlformats.org/officeDocument/2006/relationships/hyperlink" Target="" TargetMode="External"/><Relationship Id="rId6" Type="http://schemas.openxmlformats.org/officeDocument/2006/relationships/header" Target="head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240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2008-06-27T10:28:00.00Z</dcterms:created>
  <dc:creator>-</dc:creator>
  <cp:lastModifiedBy>Nicholas Krouglicof</cp:lastModifiedBy>
  <cp:lastPrinted>2007-05-08T08:48:00.00Z</cp:lastPrinted>
  <dcterms:modified xsi:type="dcterms:W3CDTF">2008-06-27T10:28:00.00Z</dcterms:modified>
  <cp:revision>2</cp:revision>
  <dc:subject>IEEE Transactions on Magnetics </dc:subject>
  <dc:title></dc:title>
</cp:coreProperties>
</file>