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充电桩操作说明</w:t>
      </w:r>
    </w:p>
    <w:p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        ----廖文慧</w:t>
      </w:r>
    </w:p>
    <w:p>
      <w:pPr>
        <w:pStyle w:val="4"/>
        <w:numPr>
          <w:ilvl w:val="0"/>
          <w:numId w:val="0"/>
        </w:numPr>
        <w:spacing w:before="312" w:after="156"/>
      </w:pPr>
      <w:r>
        <w:rPr>
          <w:rFonts w:hint="eastAsia"/>
        </w:rPr>
        <w:t>充电桩概述和配置环境介绍</w:t>
      </w:r>
    </w:p>
    <w:p>
      <w:pPr>
        <w:pStyle w:val="26"/>
      </w:pPr>
      <w:r>
        <w:rPr>
          <w:rFonts w:hint="eastAsia"/>
        </w:rPr>
        <w:t>前面板</w:t>
      </w:r>
    </w:p>
    <w:p>
      <w:pPr>
        <w:pStyle w:val="24"/>
      </w:pPr>
      <w:r>
        <w:drawing>
          <wp:inline distT="0" distB="0" distL="0" distR="0">
            <wp:extent cx="5486400" cy="3385820"/>
            <wp:effectExtent l="0" t="0" r="0" b="508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0"/>
        <w:ind w:leftChars="0"/>
      </w:pPr>
      <w:r>
        <w:rPr>
          <w:rFonts w:hint="eastAsia"/>
        </w:rPr>
        <w:t>前面板说明</w:t>
      </w:r>
    </w:p>
    <w:tbl>
      <w:tblPr>
        <w:tblStyle w:val="12"/>
        <w:tblW w:w="8505" w:type="dxa"/>
        <w:tblInd w:w="95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720"/>
        <w:gridCol w:w="609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91" w:type="dxa"/>
            <w:shd w:val="clear" w:color="auto" w:fill="D8D8D8" w:themeFill="background1" w:themeFillShade="D9"/>
            <w:vAlign w:val="center"/>
          </w:tcPr>
          <w:p>
            <w:pPr>
              <w:pStyle w:val="29"/>
            </w:pPr>
            <w:r>
              <w:rPr>
                <w:rFonts w:hint="eastAsia"/>
              </w:rPr>
              <w:t>序号</w:t>
            </w:r>
          </w:p>
        </w:tc>
        <w:tc>
          <w:tcPr>
            <w:tcW w:w="1720" w:type="dxa"/>
            <w:shd w:val="clear" w:color="auto" w:fill="D8D8D8" w:themeFill="background1" w:themeFillShade="D9"/>
            <w:vAlign w:val="center"/>
          </w:tcPr>
          <w:p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tcPr>
            <w:tcW w:w="6094" w:type="dxa"/>
            <w:shd w:val="clear" w:color="auto" w:fill="D8D8D8" w:themeFill="background1" w:themeFillShade="D9"/>
            <w:vAlign w:val="center"/>
          </w:tcPr>
          <w:p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pStyle w:val="28"/>
            </w:pPr>
            <w:bookmarkStart w:id="0" w:name="Review50382"/>
            <w:r>
              <w:rPr>
                <w:rFonts w:hint="eastAsia"/>
              </w:rPr>
              <w:t>wifi连接指示灯</w:t>
            </w:r>
            <w:bookmarkEnd w:id="0"/>
          </w:p>
        </w:tc>
        <w:tc>
          <w:tcPr>
            <w:tcW w:w="6094" w:type="dxa"/>
            <w:vAlign w:val="center"/>
          </w:tcPr>
          <w:p>
            <w:pPr>
              <w:pStyle w:val="22"/>
            </w:pPr>
            <w:r>
              <w:rPr>
                <w:rFonts w:hint="eastAsia"/>
              </w:rPr>
              <w:t>蓝色灯长亮表示已连接wifi</w:t>
            </w:r>
          </w:p>
          <w:p>
            <w:pPr>
              <w:pStyle w:val="22"/>
            </w:pPr>
            <w:r>
              <w:rPr>
                <w:rFonts w:hint="eastAsia"/>
              </w:rPr>
              <w:t>蓝色灯闪烁表示未连接wifi或者正在连接。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2</w:t>
            </w:r>
          </w:p>
        </w:tc>
        <w:tc>
          <w:tcPr>
            <w:tcW w:w="1720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机器人充电指示灯</w:t>
            </w:r>
          </w:p>
        </w:tc>
        <w:tc>
          <w:tcPr>
            <w:tcW w:w="6094" w:type="dxa"/>
            <w:vAlign w:val="center"/>
          </w:tcPr>
          <w:p>
            <w:pPr>
              <w:pStyle w:val="22"/>
            </w:pPr>
            <w:r>
              <w:rPr>
                <w:rFonts w:hint="eastAsia"/>
              </w:rPr>
              <w:t>绿灯长亮表示自动充电中。</w:t>
            </w:r>
          </w:p>
          <w:p>
            <w:pPr>
              <w:pStyle w:val="22"/>
            </w:pPr>
            <w:r>
              <w:rPr>
                <w:rFonts w:hint="eastAsia"/>
              </w:rPr>
              <w:t>红灯长亮表示手动充电中。</w:t>
            </w:r>
          </w:p>
          <w:p>
            <w:pPr>
              <w:pStyle w:val="22"/>
            </w:pPr>
            <w:r>
              <w:rPr>
                <w:rFonts w:hint="eastAsia"/>
              </w:rPr>
              <w:t>蓝灯长亮表示小车对接状态</w:t>
            </w:r>
          </w:p>
          <w:p>
            <w:pPr>
              <w:pStyle w:val="22"/>
            </w:pPr>
            <w:r>
              <w:rPr>
                <w:rFonts w:hint="eastAsia"/>
              </w:rPr>
              <w:t>黄灯长亮表示充电状态空闲。</w:t>
            </w:r>
          </w:p>
          <w:p>
            <w:pPr>
              <w:pStyle w:val="22"/>
            </w:pPr>
            <w:r>
              <w:rPr>
                <w:rFonts w:hint="eastAsia"/>
              </w:rPr>
              <w:t>红灯闪烁表示充电桩故障不可用。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3</w:t>
            </w:r>
          </w:p>
        </w:tc>
        <w:tc>
          <w:tcPr>
            <w:tcW w:w="1720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电源指示灯</w:t>
            </w:r>
          </w:p>
        </w:tc>
        <w:tc>
          <w:tcPr>
            <w:tcW w:w="6094" w:type="dxa"/>
            <w:vAlign w:val="center"/>
          </w:tcPr>
          <w:p>
            <w:pPr>
              <w:pStyle w:val="22"/>
              <w:numPr>
                <w:ilvl w:val="0"/>
                <w:numId w:val="0"/>
              </w:numPr>
              <w:ind w:left="420" w:hanging="420"/>
            </w:pPr>
            <w:r>
              <w:rPr>
                <w:rFonts w:hint="eastAsia"/>
              </w:rPr>
              <w:t>红灯常亮表示充电桩处于在通电状态，不亮则表示无电源。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4</w:t>
            </w:r>
          </w:p>
        </w:tc>
        <w:tc>
          <w:tcPr>
            <w:tcW w:w="1720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电源接口</w:t>
            </w:r>
          </w:p>
        </w:tc>
        <w:tc>
          <w:tcPr>
            <w:tcW w:w="6094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连接220V电源。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5</w:t>
            </w:r>
          </w:p>
        </w:tc>
        <w:tc>
          <w:tcPr>
            <w:tcW w:w="1720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电源开关</w:t>
            </w:r>
          </w:p>
        </w:tc>
        <w:tc>
          <w:tcPr>
            <w:tcW w:w="6094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充电桩通/断电开关。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6</w:t>
            </w:r>
          </w:p>
        </w:tc>
        <w:tc>
          <w:tcPr>
            <w:tcW w:w="1720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手动充电按钮</w:t>
            </w:r>
          </w:p>
        </w:tc>
        <w:tc>
          <w:tcPr>
            <w:tcW w:w="6094" w:type="dxa"/>
            <w:vAlign w:val="center"/>
          </w:tcPr>
          <w:p>
            <w:pPr>
              <w:pStyle w:val="28"/>
            </w:pPr>
            <w:bookmarkStart w:id="1" w:name="Review58076"/>
            <w:r>
              <w:rPr>
                <w:rFonts w:hint="eastAsia"/>
              </w:rPr>
              <w:t>手动/自动模式切换按键，手动模式启动时，指示灯由黄灯/蓝灯转换为红灯长亮，</w:t>
            </w:r>
          </w:p>
          <w:p>
            <w:pPr>
              <w:pStyle w:val="28"/>
            </w:pPr>
            <w:r>
              <w:drawing>
                <wp:inline distT="0" distB="0" distL="0" distR="0">
                  <wp:extent cx="218440" cy="161925"/>
                  <wp:effectExtent l="0" t="0" r="0" b="0"/>
                  <wp:docPr id="27" name="图片 27" descr="Y:\07_说明书图纸设计\06中文安全警示标志\1中文版\2018.5图标规范\008说明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Y:\07_说明书图纸设计\06中文安全警示标志\1中文版\2018.5图标规范\008说明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00" cy="1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8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正在自动充电状态下（绿灯），不可切换为手动模式充电。</w:t>
            </w:r>
            <w:bookmarkEnd w:id="1"/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7</w:t>
            </w:r>
          </w:p>
        </w:tc>
        <w:tc>
          <w:tcPr>
            <w:tcW w:w="1720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自动强制充电按钮</w:t>
            </w:r>
          </w:p>
        </w:tc>
        <w:tc>
          <w:tcPr>
            <w:tcW w:w="6094" w:type="dxa"/>
            <w:vAlign w:val="center"/>
          </w:tcPr>
          <w:p>
            <w:pPr>
              <w:pStyle w:val="28"/>
            </w:pPr>
            <w:bookmarkStart w:id="2" w:name="Review58078"/>
            <w:r>
              <w:rPr>
                <w:rFonts w:hint="eastAsia"/>
              </w:rPr>
              <w:t>机器人与充电桩对接成功后，可通过自动充电触发按键触发自动充电模式，该按键只可启动充电。充电完成后，机器人脱离自动充电口。</w:t>
            </w:r>
            <w:bookmarkEnd w:id="2"/>
          </w:p>
          <w:p>
            <w:pPr>
              <w:pStyle w:val="28"/>
            </w:pPr>
            <w:r>
              <w:pict>
                <v:shape id="_x0000_i1025" o:spt="75" type="#_x0000_t75" style="height:12.75pt;width:17.25pt;" filled="f" coordsize="21600,21600">
                  <v:path/>
                  <v:fill on="f" focussize="0,0"/>
                  <v:stroke/>
                  <v:imagedata r:id="rId5" o:title="008说明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  <w:shd w:val="pct10" w:color="auto" w:fill="FFFFFF"/>
              </w:rPr>
              <w:t>正在手动充电状态下（红灯），不可切换为自动动模式充电。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8</w:t>
            </w:r>
          </w:p>
        </w:tc>
        <w:tc>
          <w:tcPr>
            <w:tcW w:w="1720" w:type="dxa"/>
            <w:vAlign w:val="center"/>
          </w:tcPr>
          <w:p>
            <w:pPr>
              <w:pStyle w:val="28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设备调试接口</w:t>
            </w:r>
          </w:p>
        </w:tc>
        <w:tc>
          <w:tcPr>
            <w:tcW w:w="6094" w:type="dxa"/>
            <w:vAlign w:val="center"/>
          </w:tcPr>
          <w:p>
            <w:pPr>
              <w:pStyle w:val="28"/>
              <w:rPr>
                <w:rFonts w:cs="Times New Roman"/>
                <w:szCs w:val="21"/>
              </w:rPr>
            </w:pPr>
            <w:bookmarkStart w:id="3" w:name="Review58079"/>
            <w:r>
              <w:rPr>
                <w:rFonts w:hint="eastAsia" w:cs="Times New Roman"/>
                <w:szCs w:val="21"/>
              </w:rPr>
              <w:t>用于充电桩调试。</w:t>
            </w:r>
            <w:bookmarkEnd w:id="3"/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9</w:t>
            </w:r>
          </w:p>
        </w:tc>
        <w:tc>
          <w:tcPr>
            <w:tcW w:w="1720" w:type="dxa"/>
            <w:vAlign w:val="center"/>
          </w:tcPr>
          <w:p>
            <w:pPr>
              <w:pStyle w:val="28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自动充电接口</w:t>
            </w:r>
          </w:p>
        </w:tc>
        <w:tc>
          <w:tcPr>
            <w:tcW w:w="6094" w:type="dxa"/>
            <w:vAlign w:val="center"/>
          </w:tcPr>
          <w:p>
            <w:pPr>
              <w:pStyle w:val="28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连接机器人设备自动充电接口。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1" w:type="dxa"/>
            <w:vAlign w:val="center"/>
          </w:tcPr>
          <w:p>
            <w:pPr>
              <w:pStyle w:val="28"/>
            </w:pPr>
            <w:r>
              <w:rPr>
                <w:rFonts w:hint="eastAsia"/>
              </w:rPr>
              <w:t>10</w:t>
            </w:r>
          </w:p>
        </w:tc>
        <w:tc>
          <w:tcPr>
            <w:tcW w:w="1720" w:type="dxa"/>
            <w:vAlign w:val="center"/>
          </w:tcPr>
          <w:p>
            <w:pPr>
              <w:pStyle w:val="28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手动充电接口</w:t>
            </w:r>
          </w:p>
        </w:tc>
        <w:tc>
          <w:tcPr>
            <w:tcW w:w="6094" w:type="dxa"/>
            <w:vAlign w:val="center"/>
          </w:tcPr>
          <w:p>
            <w:pPr>
              <w:pStyle w:val="28"/>
              <w:rPr>
                <w:rFonts w:cs="Times New Roman"/>
                <w:szCs w:val="21"/>
              </w:rPr>
            </w:pPr>
            <w:bookmarkStart w:id="4" w:name="Review50399"/>
            <w:r>
              <w:rPr>
                <w:rFonts w:hint="eastAsia" w:cs="Times New Roman"/>
                <w:szCs w:val="21"/>
              </w:rPr>
              <w:t>手动充电接口</w:t>
            </w:r>
            <w:bookmarkEnd w:id="4"/>
            <w:r>
              <w:rPr>
                <w:rFonts w:hint="eastAsia" w:cs="Times New Roman"/>
                <w:szCs w:val="21"/>
              </w:rPr>
              <w:t>隐藏于该盖板内，需用起子将螺钉松开后，取下盖板。</w:t>
            </w:r>
          </w:p>
        </w:tc>
      </w:tr>
    </w:tbl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hint="eastAsia" w:ascii="宋体" w:hAnsi="宋体"/>
        </w:rPr>
        <w:t>进入控制台配置方法：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电脑使用串口线连接充电桩调试口，上位机使用</w:t>
      </w:r>
      <w:r>
        <w:rPr>
          <w:rFonts w:ascii="宋体" w:hAnsi="宋体"/>
        </w:rPr>
        <w:t>SecureCRT</w:t>
      </w:r>
      <w:r>
        <w:rPr>
          <w:rFonts w:hint="eastAsia" w:ascii="宋体" w:hAnsi="宋体"/>
        </w:rPr>
        <w:t>,建议版本</w:t>
      </w:r>
      <w:r>
        <w:rPr>
          <w:rFonts w:ascii="宋体" w:hAnsi="宋体"/>
        </w:rPr>
        <w:t>Version 6.6.1</w:t>
      </w:r>
      <w:r>
        <w:rPr>
          <w:rFonts w:hint="eastAsia" w:ascii="宋体" w:hAnsi="宋体"/>
        </w:rPr>
        <w:t>及以上。充电桩断电状态下保持按钮6按下，同时再给充电桩上电，此时充电桩会进入控制台菜单选项。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hint="eastAsia" w:ascii="宋体" w:hAnsi="宋体"/>
        </w:rPr>
        <w:t>串口参数配置如下（端口号根据实际串口线连接的串口号选择）：</w:t>
      </w:r>
    </w:p>
    <w:p>
      <w:pPr>
        <w:rPr>
          <w:rFonts w:ascii="宋体" w:hAnsi="宋体"/>
        </w:rPr>
      </w:pPr>
      <w:r>
        <w:drawing>
          <wp:inline distT="0" distB="0" distL="0" distR="0">
            <wp:extent cx="5274310" cy="45446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</w:rPr>
      </w:pPr>
    </w:p>
    <w:p>
      <w:r>
        <w:rPr>
          <w:rFonts w:hint="eastAsia" w:ascii="宋体" w:hAnsi="宋体"/>
        </w:rPr>
        <w:t>关于控制台的选项如下：</w:t>
      </w:r>
    </w:p>
    <w:p/>
    <w:p>
      <w:pPr>
        <w:pStyle w:val="7"/>
      </w:pPr>
      <w:r>
        <w:rPr>
          <w:rFonts w:hint="eastAsia" w:ascii="宋体" w:hAnsi="宋体"/>
        </w:rPr>
        <w:t>对应选项分别为：</w:t>
      </w:r>
    </w:p>
    <w:p>
      <w:pPr>
        <w:pStyle w:val="7"/>
        <w:numPr>
          <w:ilvl w:val="0"/>
          <w:numId w:val="3"/>
        </w:numPr>
      </w:pPr>
      <w:r>
        <w:rPr>
          <w:rFonts w:hint="eastAsia" w:ascii="宋体" w:hAnsi="宋体"/>
        </w:rPr>
        <w:t>通过</w:t>
      </w:r>
      <w:r>
        <w:t>Ymodem</w:t>
      </w:r>
      <w:r>
        <w:rPr>
          <w:rFonts w:hint="eastAsia" w:ascii="宋体" w:hAnsi="宋体"/>
        </w:rPr>
        <w:t>协议传输</w:t>
      </w:r>
      <w:r>
        <w:t>APP</w:t>
      </w:r>
      <w:r>
        <w:rPr>
          <w:rFonts w:hint="eastAsia" w:ascii="宋体" w:hAnsi="宋体"/>
        </w:rPr>
        <w:t>文件并烧入芯片,非专业人员请勿操作；</w:t>
      </w:r>
    </w:p>
    <w:p>
      <w:pPr>
        <w:pStyle w:val="7"/>
        <w:numPr>
          <w:ilvl w:val="0"/>
          <w:numId w:val="3"/>
        </w:numPr>
      </w:pPr>
      <w:r>
        <w:rPr>
          <w:rFonts w:hint="eastAsia" w:ascii="宋体" w:hAnsi="宋体"/>
        </w:rPr>
        <w:t>预留接口，非技术人员请勿操作；</w:t>
      </w:r>
    </w:p>
    <w:p>
      <w:pPr>
        <w:pStyle w:val="7"/>
        <w:numPr>
          <w:ilvl w:val="0"/>
          <w:numId w:val="3"/>
        </w:numPr>
      </w:pPr>
      <w:r>
        <w:rPr>
          <w:rFonts w:hint="eastAsia" w:ascii="宋体" w:hAnsi="宋体"/>
        </w:rPr>
        <w:t>执行</w:t>
      </w:r>
      <w:r>
        <w:t>APP</w:t>
      </w:r>
      <w:r>
        <w:rPr>
          <w:rFonts w:hint="eastAsia" w:ascii="宋体" w:hAnsi="宋体"/>
        </w:rPr>
        <w:t>程序；</w:t>
      </w:r>
    </w:p>
    <w:p>
      <w:pPr>
        <w:pStyle w:val="7"/>
        <w:numPr>
          <w:ilvl w:val="0"/>
          <w:numId w:val="3"/>
        </w:numPr>
      </w:pPr>
      <w:r>
        <w:rPr>
          <w:rFonts w:hint="eastAsia" w:ascii="宋体" w:hAnsi="宋体"/>
        </w:rPr>
        <w:t>设置</w:t>
      </w:r>
      <w:r>
        <w:t>AP</w:t>
      </w:r>
      <w:r>
        <w:rPr>
          <w:rFonts w:hint="eastAsia" w:ascii="宋体" w:hAnsi="宋体"/>
        </w:rPr>
        <w:t>的账号密码（连接所需</w:t>
      </w:r>
      <w:r>
        <w:t>wifi</w:t>
      </w:r>
      <w:r>
        <w:rPr>
          <w:rFonts w:hint="eastAsia" w:ascii="宋体" w:hAnsi="宋体"/>
        </w:rPr>
        <w:t>的账号密码）；</w:t>
      </w:r>
    </w:p>
    <w:p>
      <w:pPr>
        <w:pStyle w:val="7"/>
        <w:numPr>
          <w:ilvl w:val="0"/>
          <w:numId w:val="3"/>
        </w:numPr>
      </w:pPr>
      <w:r>
        <w:rPr>
          <w:rFonts w:hint="eastAsia" w:ascii="宋体" w:hAnsi="宋体"/>
        </w:rPr>
        <w:t>设置终端用户管理的账号密码（请设置为当前平台默认的：</w:t>
      </w:r>
      <w:r>
        <w:t>"admin"</w:t>
      </w:r>
      <w:r>
        <w:rPr>
          <w:rFonts w:hint="eastAsia" w:ascii="宋体" w:hAnsi="宋体"/>
        </w:rPr>
        <w:t>，</w:t>
      </w:r>
      <w:r>
        <w:t>"7F8268F2A79AB2D6164F88E6A4A5C94A"</w:t>
      </w:r>
      <w:r>
        <w:rPr>
          <w:rFonts w:hint="eastAsia" w:ascii="宋体" w:hAnsi="宋体"/>
        </w:rPr>
        <w:t>）</w:t>
      </w:r>
    </w:p>
    <w:p>
      <w:pPr>
        <w:pStyle w:val="7"/>
        <w:numPr>
          <w:ilvl w:val="0"/>
          <w:numId w:val="3"/>
        </w:numPr>
      </w:pPr>
      <w:r>
        <w:rPr>
          <w:rFonts w:hint="eastAsia" w:ascii="宋体" w:hAnsi="宋体"/>
        </w:rPr>
        <w:t>设置平台</w:t>
      </w:r>
      <w:r>
        <w:t>IP</w:t>
      </w:r>
      <w:r>
        <w:rPr>
          <w:rFonts w:hint="eastAsia" w:ascii="宋体" w:hAnsi="宋体"/>
        </w:rPr>
        <w:t>地址和端口号以及设备名称（</w:t>
      </w:r>
      <w:r>
        <w:t>IP</w:t>
      </w:r>
      <w:r>
        <w:rPr>
          <w:rFonts w:hint="eastAsia" w:ascii="宋体" w:hAnsi="宋体"/>
        </w:rPr>
        <w:t>和端口号咨询平台【</w:t>
      </w:r>
      <w:r>
        <w:t>IP</w:t>
      </w:r>
      <w:r>
        <w:rPr>
          <w:rFonts w:hint="eastAsia" w:ascii="宋体" w:hAnsi="宋体"/>
        </w:rPr>
        <w:t>：</w:t>
      </w:r>
      <w:r>
        <w:t>10.35.81.112\PORT:3002</w:t>
      </w:r>
      <w:r>
        <w:rPr>
          <w:rFonts w:hint="eastAsia" w:ascii="宋体" w:hAnsi="宋体"/>
        </w:rPr>
        <w:t>】，设备号可自行设置</w:t>
      </w:r>
      <w:r>
        <w:t>,</w:t>
      </w:r>
      <w:r>
        <w:rPr>
          <w:rFonts w:hint="eastAsia" w:ascii="宋体" w:hAnsi="宋体"/>
        </w:rPr>
        <w:t>例如：</w:t>
      </w:r>
      <w:r>
        <w:t>CHARGE_DH-003</w:t>
      </w:r>
      <w:r>
        <w:rPr>
          <w:rFonts w:hint="eastAsia" w:ascii="宋体" w:hAnsi="宋体"/>
        </w:rPr>
        <w:t>）。</w:t>
      </w:r>
    </w:p>
    <w:p>
      <w:pPr>
        <w:pStyle w:val="7"/>
        <w:numPr>
          <w:ilvl w:val="0"/>
          <w:numId w:val="3"/>
        </w:numPr>
      </w:pPr>
      <w:r>
        <w:rPr>
          <w:rFonts w:hint="eastAsia" w:ascii="宋体" w:hAnsi="宋体"/>
        </w:rPr>
        <w:t>设置静态IP地址并使能</w:t>
      </w:r>
    </w:p>
    <w:p>
      <w:pPr>
        <w:pStyle w:val="7"/>
        <w:numPr>
          <w:ilvl w:val="0"/>
          <w:numId w:val="3"/>
        </w:numPr>
      </w:pPr>
      <w:r>
        <w:rPr>
          <w:rFonts w:hint="eastAsia" w:ascii="宋体" w:hAnsi="宋体"/>
        </w:rPr>
        <w:t>用户设置充电电压（0.1V）电流（0.1A）</w:t>
      </w:r>
    </w:p>
    <w:p>
      <w:pPr>
        <w:pStyle w:val="7"/>
        <w:ind w:left="780" w:firstLine="0"/>
      </w:pPr>
    </w:p>
    <w:p>
      <w:pPr>
        <w:pStyle w:val="7"/>
        <w:ind w:left="420" w:firstLine="0"/>
      </w:pPr>
      <w:r>
        <w:rPr>
          <w:rFonts w:hint="eastAsia" w:ascii="宋体" w:hAnsi="宋体"/>
        </w:rPr>
        <w:t>具体如下图所示：</w:t>
      </w:r>
    </w:p>
    <w:p>
      <w:pPr>
        <w:pStyle w:val="7"/>
        <w:ind w:left="420" w:firstLine="0"/>
      </w:pPr>
      <w:r>
        <w:drawing>
          <wp:inline distT="0" distB="0" distL="0" distR="0">
            <wp:extent cx="5267325" cy="26479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>
      <w:pPr>
        <w:pStyle w:val="4"/>
        <w:numPr>
          <w:ilvl w:val="0"/>
          <w:numId w:val="0"/>
        </w:numPr>
        <w:spacing w:before="312" w:after="156"/>
      </w:pPr>
      <w:r>
        <w:rPr>
          <w:rFonts w:hint="eastAsia"/>
        </w:rPr>
        <w:t>二、下载充电桩程序</w:t>
      </w:r>
    </w:p>
    <w:p>
      <w:r>
        <w:rPr>
          <w:rFonts w:hint="eastAsia"/>
        </w:rPr>
        <w:t>1、选择选项1，如下图所示</w:t>
      </w:r>
    </w:p>
    <w:p>
      <w:r>
        <w:rPr>
          <w:rFonts w:hint="eastAsia"/>
        </w:rPr>
        <w:t xml:space="preserve">  </w:t>
      </w:r>
      <w:r>
        <w:drawing>
          <wp:inline distT="0" distB="0" distL="0" distR="0">
            <wp:extent cx="5274310" cy="30835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rPr>
          <w:rFonts w:hint="eastAsia"/>
        </w:rPr>
        <w:t>2、上位机选择发送ymodem</w:t>
      </w:r>
    </w:p>
    <w:p>
      <w:r>
        <w:drawing>
          <wp:inline distT="0" distB="0" distL="0" distR="0">
            <wp:extent cx="5270500" cy="3554095"/>
            <wp:effectExtent l="0" t="0" r="635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3、选择需要升级的bin文件并添加，选中发送文件中加好的文件，点击确认发送</w:t>
      </w:r>
    </w:p>
    <w:p>
      <w:r>
        <w:drawing>
          <wp:inline distT="0" distB="0" distL="0" distR="0">
            <wp:extent cx="4704080" cy="4171950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3085" cy="417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4、升级中，等待升级完成如下图</w:t>
      </w:r>
    </w:p>
    <w:p>
      <w:r>
        <w:drawing>
          <wp:inline distT="0" distB="0" distL="0" distR="0">
            <wp:extent cx="5274310" cy="34690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5、执行程序，输入3，选择选项3，程序开始执行，打印App start</w:t>
      </w:r>
      <w:r>
        <w:t>…</w:t>
      </w:r>
      <w:r>
        <w:rPr>
          <w:rFonts w:hint="eastAsia"/>
        </w:rPr>
        <w:t>并输出相应信息（程序升级完成）</w:t>
      </w:r>
    </w:p>
    <w:p>
      <w:r>
        <w:drawing>
          <wp:inline distT="0" distB="0" distL="0" distR="0">
            <wp:extent cx="5274310" cy="34601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4"/>
        <w:numPr>
          <w:ilvl w:val="0"/>
          <w:numId w:val="0"/>
        </w:numPr>
        <w:spacing w:before="312" w:after="156"/>
      </w:pPr>
      <w:r>
        <w:rPr>
          <w:rFonts w:hint="eastAsia"/>
        </w:rPr>
        <w:t>三、充电器模式选择</w:t>
      </w:r>
    </w:p>
    <w:p>
      <w:r>
        <w:rPr>
          <w:rFonts w:hint="eastAsia"/>
        </w:rPr>
        <w:t>目前充电器有四种基础模式，如果充电器使用的是中工巨能的黑色CAN通信的充电器，需要将K3的1拨码拨到on状态，目的是接入120欧姆匹配电阻，确保通信质量,注意拨码开关低位为1号高位为4号，on状态值为1。</w:t>
      </w:r>
    </w:p>
    <w:p/>
    <w:p>
      <w:r>
        <w:rPr>
          <w:rFonts w:hint="eastAsia"/>
        </w:rPr>
        <w:t>四种充电模式分别是：</w:t>
      </w:r>
    </w:p>
    <w:p>
      <w:pPr>
        <w:pStyle w:val="31"/>
        <w:numPr>
          <w:ilvl w:val="0"/>
          <w:numId w:val="4"/>
        </w:numPr>
        <w:ind w:firstLineChars="0"/>
      </w:pPr>
      <w:r>
        <w:rPr>
          <w:rFonts w:hint="eastAsia"/>
        </w:rPr>
        <w:t>AGV智能联网充电模式，默认电压54.6V，电流18A，K1编码0000B</w:t>
      </w:r>
    </w:p>
    <w:p>
      <w:pPr>
        <w:pStyle w:val="31"/>
        <w:numPr>
          <w:ilvl w:val="0"/>
          <w:numId w:val="4"/>
        </w:numPr>
        <w:ind w:firstLineChars="0"/>
      </w:pPr>
      <w:r>
        <w:rPr>
          <w:rFonts w:hint="eastAsia"/>
        </w:rPr>
        <w:t>室内巡检机器人充电模式，默认电压28.8V，电流18A,K1编码0001B</w:t>
      </w:r>
    </w:p>
    <w:p>
      <w:pPr>
        <w:pStyle w:val="31"/>
        <w:numPr>
          <w:ilvl w:val="0"/>
          <w:numId w:val="4"/>
        </w:numPr>
        <w:ind w:firstLineChars="0"/>
      </w:pPr>
      <w:r>
        <w:rPr>
          <w:rFonts w:hint="eastAsia"/>
        </w:rPr>
        <w:t>AGV离线自动充电模式，默认电压54.6V，电流18A，K1编码0010B</w:t>
      </w:r>
    </w:p>
    <w:p>
      <w:pPr>
        <w:pStyle w:val="31"/>
        <w:numPr>
          <w:ilvl w:val="0"/>
          <w:numId w:val="4"/>
        </w:numPr>
        <w:ind w:firstLineChars="0"/>
      </w:pPr>
      <w:r>
        <w:rPr>
          <w:rFonts w:hint="eastAsia"/>
        </w:rPr>
        <w:t>分拣小车联网充电模式，默认电压29.4V，电流7A，K1编码0011B</w:t>
      </w:r>
    </w:p>
    <w:p/>
    <w:p>
      <w:r>
        <w:rPr>
          <w:rFonts w:hint="eastAsia"/>
        </w:rPr>
        <w:t>模式说明：</w:t>
      </w:r>
    </w:p>
    <w:p>
      <w:pPr>
        <w:ind w:left="525" w:leftChars="250" w:firstLine="420" w:firstLineChars="200"/>
      </w:pPr>
      <w:r>
        <w:rPr>
          <w:rFonts w:hint="eastAsia"/>
        </w:rPr>
        <w:t>分拣小车联网充电模式、AGV智能联网充电模式:可联网，对接后需要触发指令才能充电；</w:t>
      </w:r>
    </w:p>
    <w:p>
      <w:pPr>
        <w:ind w:left="525" w:leftChars="250" w:firstLine="420" w:firstLineChars="200"/>
      </w:pPr>
      <w:r>
        <w:rPr>
          <w:rFonts w:hint="eastAsia"/>
        </w:rPr>
        <w:t>AGV离线自动充电模式、室内巡检机器人充电模式：不可联网，对接成功后自动充电，脱离后即停止充电；</w:t>
      </w:r>
    </w:p>
    <w:p>
      <w:pPr>
        <w:ind w:firstLine="525" w:firstLineChars="250"/>
      </w:pPr>
      <w:r>
        <w:rPr>
          <w:rFonts w:hint="eastAsia"/>
        </w:rPr>
        <w:t xml:space="preserve">    四种模式均支持手充，按键启停。</w:t>
      </w:r>
    </w:p>
    <w:p>
      <w:pPr>
        <w:rPr>
          <w:color w:val="FF0000"/>
        </w:rPr>
      </w:pPr>
      <w:r>
        <w:rPr>
          <w:rFonts w:hint="eastAsia"/>
          <w:color w:val="FF0000"/>
        </w:rPr>
        <w:t>说明：充电器必须支持当前设置充电功率。</w:t>
      </w:r>
    </w:p>
    <w:p>
      <w:r>
        <w:rPr>
          <w:rFonts w:hint="eastAsia"/>
        </w:rPr>
        <w:drawing>
          <wp:inline distT="0" distB="0" distL="0" distR="0">
            <wp:extent cx="5467350" cy="3514725"/>
            <wp:effectExtent l="0" t="0" r="0" b="9525"/>
            <wp:docPr id="10" name="图片 10" descr="D:\杂项\充电板子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\杂项\充电板子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9224" cy="351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  <w:numPr>
          <w:ilvl w:val="0"/>
          <w:numId w:val="0"/>
        </w:numPr>
        <w:spacing w:before="312" w:after="156"/>
      </w:pPr>
      <w:r>
        <w:rPr>
          <w:rFonts w:hint="eastAsia"/>
        </w:rPr>
        <w:t>四、用户自定义充电功率</w:t>
      </w:r>
    </w:p>
    <w:p>
      <w:pPr>
        <w:ind w:firstLine="420" w:firstLineChars="200"/>
      </w:pPr>
      <w:r>
        <w:rPr>
          <w:rFonts w:hint="eastAsia"/>
        </w:rPr>
        <w:t>拨码开关设置的四种模式默认电压为常用电压，在不同模式下可通过控制台配置修改为用户自定义电压，具体操作方式如下：</w:t>
      </w:r>
    </w:p>
    <w:p/>
    <w:p>
      <w:pPr>
        <w:pStyle w:val="31"/>
        <w:numPr>
          <w:ilvl w:val="0"/>
          <w:numId w:val="5"/>
        </w:numPr>
        <w:ind w:firstLineChars="0"/>
      </w:pPr>
      <w:r>
        <w:rPr>
          <w:rFonts w:hint="eastAsia"/>
        </w:rPr>
        <w:t>断电重启进入控制台模式；</w:t>
      </w:r>
    </w:p>
    <w:p>
      <w:pPr>
        <w:pStyle w:val="31"/>
        <w:numPr>
          <w:ilvl w:val="0"/>
          <w:numId w:val="5"/>
        </w:numPr>
        <w:ind w:firstLineChars="0"/>
      </w:pPr>
      <w:r>
        <w:rPr>
          <w:rFonts w:hint="eastAsia"/>
        </w:rPr>
        <w:t>选择控制台选项8，进入电压配置，注意：电压电流的设置单位</w:t>
      </w:r>
      <w:r>
        <w:rPr>
          <w:rFonts w:hint="eastAsia" w:ascii="宋体" w:hAnsi="宋体"/>
        </w:rPr>
        <w:t>电压（0.1V）电流（0.1A），例如设置29.4V/7A如下图所示：</w:t>
      </w:r>
    </w:p>
    <w:p>
      <w:pPr>
        <w:pStyle w:val="31"/>
        <w:ind w:left="360" w:firstLine="0" w:firstLineChars="0"/>
      </w:pPr>
      <w:r>
        <w:drawing>
          <wp:inline distT="0" distB="0" distL="0" distR="0">
            <wp:extent cx="4754245" cy="268605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3766" cy="26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ind w:left="360" w:firstLine="0" w:firstLineChars="0"/>
      </w:pPr>
    </w:p>
    <w:p>
      <w:pPr>
        <w:pStyle w:val="31"/>
        <w:numPr>
          <w:ilvl w:val="0"/>
          <w:numId w:val="5"/>
        </w:numPr>
        <w:ind w:firstLineChars="0"/>
      </w:pPr>
      <w:r>
        <w:rPr>
          <w:rFonts w:hint="eastAsia"/>
        </w:rPr>
        <w:t>按Y保存设置好的参数；</w:t>
      </w:r>
    </w:p>
    <w:p>
      <w:r>
        <w:rPr>
          <w:rFonts w:hint="eastAsia"/>
        </w:rPr>
        <w:drawing>
          <wp:inline distT="0" distB="0" distL="0" distR="0">
            <wp:extent cx="4572000" cy="48672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5"/>
        </w:numPr>
        <w:ind w:firstLineChars="0"/>
      </w:pPr>
      <w:r>
        <w:rPr>
          <w:rFonts w:hint="eastAsia"/>
        </w:rPr>
        <w:t>回到控制台主菜单，选择3，执行app程序，看到设置后的电压电流参数为</w:t>
      </w:r>
    </w:p>
    <w:p>
      <w:pPr>
        <w:pStyle w:val="31"/>
        <w:ind w:left="360" w:firstLine="0" w:firstLineChars="0"/>
      </w:pPr>
      <w:r>
        <w:rPr>
          <w:rFonts w:hint="eastAsia"/>
        </w:rPr>
        <w:t>“</w:t>
      </w:r>
      <w:r>
        <w:t>CMD_ChargeVol:294 CMD_ChargeCur:70</w:t>
      </w:r>
      <w:r>
        <w:rPr>
          <w:rFonts w:hint="eastAsia"/>
        </w:rPr>
        <w:t>”，见下图：</w:t>
      </w:r>
    </w:p>
    <w:p>
      <w:r>
        <w:drawing>
          <wp:inline distT="0" distB="0" distL="0" distR="0">
            <wp:extent cx="4629150" cy="25908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  <w:numPr>
          <w:ilvl w:val="0"/>
          <w:numId w:val="0"/>
        </w:numPr>
        <w:spacing w:before="312" w:after="156"/>
      </w:pPr>
      <w:r>
        <w:rPr>
          <w:rFonts w:hint="eastAsia"/>
        </w:rPr>
        <w:t>五、无线网络连接</w:t>
      </w:r>
    </w:p>
    <w:p>
      <w:r>
        <w:rPr>
          <w:rFonts w:hint="eastAsia"/>
        </w:rPr>
        <w:t>联网模式需要用户配置wifi账号密码以接入相应的网络环境，步骤如下：</w:t>
      </w:r>
    </w:p>
    <w:p>
      <w:pPr>
        <w:pStyle w:val="31"/>
        <w:numPr>
          <w:ilvl w:val="0"/>
          <w:numId w:val="6"/>
        </w:numPr>
        <w:ind w:firstLineChars="0"/>
      </w:pPr>
      <w:r>
        <w:rPr>
          <w:rFonts w:hint="eastAsia"/>
        </w:rPr>
        <w:t>进入控制台主菜单，键盘输入4；</w:t>
      </w:r>
    </w:p>
    <w:p>
      <w:pPr>
        <w:pStyle w:val="31"/>
        <w:numPr>
          <w:ilvl w:val="0"/>
          <w:numId w:val="6"/>
        </w:numPr>
        <w:ind w:firstLineChars="0"/>
      </w:pPr>
      <w:r>
        <w:rPr>
          <w:rFonts w:hint="eastAsia"/>
        </w:rPr>
        <w:t>配置wifi的用户名和密码，如下图：</w:t>
      </w:r>
    </w:p>
    <w:p>
      <w:r>
        <w:drawing>
          <wp:inline distT="0" distB="0" distL="0" distR="0">
            <wp:extent cx="4524375" cy="33813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6"/>
        </w:numPr>
        <w:ind w:firstLineChars="0"/>
      </w:pPr>
      <w:r>
        <w:rPr>
          <w:rFonts w:hint="eastAsia"/>
        </w:rPr>
        <w:t>按键输入Y选择保存设置参数，会有相应的参数保存结果提示；</w:t>
      </w:r>
    </w:p>
    <w:p>
      <w:pPr>
        <w:pStyle w:val="31"/>
        <w:numPr>
          <w:ilvl w:val="0"/>
          <w:numId w:val="6"/>
        </w:numPr>
        <w:ind w:firstLineChars="0"/>
      </w:pPr>
      <w:r>
        <w:rPr>
          <w:rFonts w:hint="eastAsia"/>
        </w:rPr>
        <w:t>保存成功后，按键输入3，运行APP即可。</w:t>
      </w:r>
    </w:p>
    <w:p>
      <w:pPr>
        <w:pStyle w:val="31"/>
        <w:numPr>
          <w:ilvl w:val="0"/>
          <w:numId w:val="6"/>
        </w:numPr>
        <w:ind w:firstLineChars="0"/>
      </w:pPr>
      <w:r>
        <w:t>A</w:t>
      </w:r>
      <w:r>
        <w:rPr>
          <w:rFonts w:hint="eastAsia"/>
        </w:rPr>
        <w:t>pp执行后会打印连接信息和wifi信号强度，正常信号强度在-50dB~-60dB左右，如果信号值为-99dB（请确认账号密码是否输入有误）或者比较微弱，请确认充电桩天线是否安装，或者充电桩位置是否离ap较远。</w:t>
      </w:r>
    </w:p>
    <w:p>
      <w:r>
        <w:drawing>
          <wp:inline distT="0" distB="0" distL="0" distR="0">
            <wp:extent cx="5267325" cy="29337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spacing w:before="312" w:after="156"/>
      </w:pPr>
      <w:r>
        <w:rPr>
          <w:rFonts w:hint="eastAsia"/>
        </w:rPr>
        <w:t>六、设置管理员账号密码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管理员账号密码用于配网工具登陆和平台注册，通常情况不用配置，</w:t>
      </w:r>
      <w:r>
        <w:rPr>
          <w:rFonts w:hint="eastAsia" w:ascii="宋体" w:hAnsi="宋体"/>
        </w:rPr>
        <w:t>请设置为当前平台默认的：</w:t>
      </w:r>
      <w:r>
        <w:t>"admin"</w:t>
      </w:r>
      <w:r>
        <w:rPr>
          <w:rFonts w:hint="eastAsia" w:ascii="宋体" w:hAnsi="宋体"/>
        </w:rPr>
        <w:t>，</w:t>
      </w:r>
      <w:r>
        <w:t>"7F8268F2A79AB2D6164F88E6A4A5C94A"</w:t>
      </w:r>
      <w:r>
        <w:rPr>
          <w:rFonts w:hint="eastAsia"/>
        </w:rPr>
        <w:t>,否则平台无法登陆。</w:t>
      </w:r>
    </w:p>
    <w:p>
      <w:pPr>
        <w:ind w:firstLine="420" w:firstLineChars="200"/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新版密码直接输：admin123456</w:t>
      </w:r>
    </w:p>
    <w:p>
      <w:r>
        <w:rPr>
          <w:rFonts w:hint="eastAsia"/>
        </w:rPr>
        <w:t>配置如下图：</w:t>
      </w:r>
    </w:p>
    <w:p>
      <w:r>
        <w:drawing>
          <wp:inline distT="0" distB="0" distL="0" distR="0">
            <wp:extent cx="4676775" cy="137160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spacing w:before="312" w:after="156"/>
      </w:pPr>
      <w:r>
        <w:rPr>
          <w:rFonts w:hint="eastAsia"/>
        </w:rPr>
        <w:t>七、设置平台信息和设备ID</w:t>
      </w:r>
    </w:p>
    <w:p>
      <w:pPr>
        <w:ind w:firstLine="420" w:firstLineChars="200"/>
      </w:pPr>
      <w:r>
        <w:rPr>
          <w:rFonts w:hint="eastAsia"/>
        </w:rPr>
        <w:t>联网型充电桩需要设置平台的IP地址和端口号用于连接平台进行信息交互和接收控制，同时第一次配置需要设置正确的设备ID以识别</w:t>
      </w:r>
    </w:p>
    <w:p>
      <w:pPr>
        <w:ind w:firstLine="420" w:firstLineChars="200"/>
      </w:pPr>
      <w:r>
        <w:rPr>
          <w:rFonts w:hint="eastAsia"/>
        </w:rPr>
        <w:t>进入菜单步骤和其他设置相同，选择选项6，第一次配置时必须配置设备ID号，第二次及以后配置可选择性修改设备ID号，配置界面如下图所示：</w:t>
      </w:r>
    </w:p>
    <w:p>
      <w:pPr>
        <w:ind w:firstLine="420" w:firstLineChars="200"/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</w:rPr>
        <w:t>说明：服务器地址和端号在设备联网情况下可通过配网工具配置（为确保能搜索到设备，请输入设备IP地址进行单个设备搜索）</w:t>
      </w:r>
      <w:r>
        <w:rPr>
          <w:rFonts w:hint="eastAsia"/>
          <w:color w:val="FF0000"/>
          <w:lang w:val="en-US" w:eastAsia="zh-CN"/>
        </w:rPr>
        <w:t xml:space="preserve">IP：服务器 port：端口  </w:t>
      </w:r>
      <w:bookmarkStart w:id="5" w:name="_GoBack"/>
      <w:bookmarkEnd w:id="5"/>
      <w:r>
        <w:rPr>
          <w:rFonts w:hint="eastAsia"/>
          <w:color w:val="FF0000"/>
          <w:lang w:val="en-US" w:eastAsia="zh-CN"/>
        </w:rPr>
        <w:t>DEVICE ID：设备序列号</w:t>
      </w:r>
    </w:p>
    <w:p>
      <w:pPr>
        <w:ind w:firstLine="420" w:firstLineChars="200"/>
      </w:pPr>
      <w:r>
        <w:drawing>
          <wp:inline distT="0" distB="0" distL="0" distR="0">
            <wp:extent cx="4772025" cy="38766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</w:p>
    <w:p>
      <w:pPr>
        <w:pStyle w:val="4"/>
        <w:numPr>
          <w:ilvl w:val="0"/>
          <w:numId w:val="0"/>
        </w:numPr>
        <w:spacing w:before="312" w:after="156"/>
      </w:pPr>
      <w:r>
        <w:rPr>
          <w:rFonts w:hint="eastAsia"/>
        </w:rPr>
        <w:t>八、设备静态IP配置</w:t>
      </w:r>
    </w:p>
    <w:p>
      <w:pPr>
        <w:ind w:firstLine="420"/>
      </w:pPr>
      <w:r>
        <w:rPr>
          <w:rFonts w:hint="eastAsia"/>
        </w:rPr>
        <w:t>在一些情况下需要将设备进行静态IP配置，请提前分配好网段，不要和其他IP冲突。如果配置成功后设备仍然无法正确连接后台，请联系网络管理员查看是否配置的IP与其他设备存在IP冲突。具体配置如下：</w:t>
      </w:r>
    </w:p>
    <w:p>
      <w:pPr>
        <w:ind w:firstLine="420"/>
      </w:pPr>
      <w:r>
        <w:drawing>
          <wp:inline distT="0" distB="0" distL="0" distR="0">
            <wp:extent cx="5029200" cy="38957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</w:p>
    <w:p>
      <w:pPr>
        <w:ind w:firstLine="420"/>
      </w:pPr>
      <w:r>
        <w:drawing>
          <wp:inline distT="0" distB="0" distL="0" distR="0">
            <wp:extent cx="4972050" cy="341947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spacing w:before="312" w:after="156"/>
      </w:pPr>
      <w:r>
        <w:rPr>
          <w:rFonts w:hint="eastAsia"/>
        </w:rPr>
        <w:t>九、出厂充电桩基本配置顺序</w:t>
      </w:r>
    </w:p>
    <w:p>
      <w:pPr>
        <w:ind w:left="316" w:hanging="316" w:hangingChars="150"/>
      </w:pPr>
      <w:r>
        <w:rPr>
          <w:rFonts w:hint="eastAsia"/>
          <w:b/>
        </w:rPr>
        <w:t>A、非联网型充电桩：</w:t>
      </w:r>
      <w:r>
        <w:rPr>
          <w:rFonts w:hint="eastAsia"/>
        </w:rPr>
        <w:t>根据《三、充电器模式选择》步骤，选择相应的模式拨动拨码开关即可，如需要调整为自定义充电电流电压还需要根据《四、用户自定义充电功率》步骤进行充电器输出电压电流配置，完成后重启充电桩即可。</w:t>
      </w:r>
    </w:p>
    <w:p>
      <w:pPr>
        <w:ind w:left="316" w:hanging="316" w:hangingChars="150"/>
        <w:rPr>
          <w:b/>
        </w:rPr>
      </w:pPr>
      <w:r>
        <w:rPr>
          <w:rFonts w:hint="eastAsia"/>
          <w:b/>
        </w:rPr>
        <w:t>B、联网型充电桩：</w:t>
      </w:r>
    </w:p>
    <w:p>
      <w:pPr>
        <w:ind w:left="315" w:leftChars="150"/>
      </w:pPr>
      <w:r>
        <w:rPr>
          <w:rFonts w:hint="eastAsia"/>
        </w:rPr>
        <w:t>通常需要配置</w:t>
      </w:r>
      <w:r>
        <w:rPr>
          <w:rFonts w:hint="eastAsia"/>
          <w:color w:val="4BACC6" w:themeColor="accent5"/>
          <w14:textFill>
            <w14:solidFill>
              <w14:schemeClr w14:val="accent5"/>
            </w14:solidFill>
          </w14:textFill>
        </w:rPr>
        <w:t>设备工作模式(功率) /设置新设备ID /wifi联网/配置平台信息</w:t>
      </w:r>
    </w:p>
    <w:p>
      <w:pPr>
        <w:ind w:left="315" w:leftChars="150"/>
      </w:pPr>
      <w:r>
        <w:rPr>
          <w:rFonts w:hint="eastAsia"/>
        </w:rPr>
        <w:t>一般步骤如下：</w:t>
      </w:r>
    </w:p>
    <w:p>
      <w:pPr>
        <w:pStyle w:val="31"/>
        <w:numPr>
          <w:ilvl w:val="0"/>
          <w:numId w:val="7"/>
        </w:numPr>
        <w:ind w:firstLineChars="0"/>
      </w:pPr>
      <w:r>
        <w:rPr>
          <w:rFonts w:hint="eastAsia"/>
        </w:rPr>
        <w:t>配置充电器工作模式和充电功率（根据用户需求选配），具体参照非联网型步骤；</w:t>
      </w:r>
    </w:p>
    <w:p>
      <w:pPr>
        <w:pStyle w:val="31"/>
        <w:numPr>
          <w:ilvl w:val="0"/>
          <w:numId w:val="7"/>
        </w:numPr>
        <w:ind w:firstLineChars="0"/>
      </w:pPr>
      <w:r>
        <w:rPr>
          <w:rFonts w:hint="eastAsia"/>
        </w:rPr>
        <w:t>根据《五、无线网络连接》步骤正确配置上网，设备初始连接AP：</w:t>
      </w:r>
    </w:p>
    <w:p>
      <w:pPr>
        <w:pStyle w:val="31"/>
        <w:ind w:left="675" w:firstLine="0" w:firstLineChars="0"/>
      </w:pPr>
      <w:r>
        <w:rPr>
          <w:rFonts w:hint="eastAsia"/>
        </w:rPr>
        <w:t>账号</w:t>
      </w:r>
      <w:r>
        <w:t>DH-AGV</w:t>
      </w:r>
      <w:r>
        <w:rPr>
          <w:rFonts w:hint="eastAsia"/>
        </w:rPr>
        <w:t xml:space="preserve"> 密码 </w:t>
      </w:r>
      <w:r>
        <w:t>DHrTA@2018!</w:t>
      </w:r>
      <w:r>
        <w:rPr>
          <w:rFonts w:hint="eastAsia"/>
        </w:rPr>
        <w:t>；</w:t>
      </w:r>
    </w:p>
    <w:p>
      <w:pPr>
        <w:pStyle w:val="31"/>
        <w:numPr>
          <w:ilvl w:val="0"/>
          <w:numId w:val="7"/>
        </w:numPr>
        <w:ind w:firstLineChars="0"/>
      </w:pPr>
      <w:r>
        <w:rPr>
          <w:rFonts w:hint="eastAsia"/>
        </w:rPr>
        <w:t>根据需求设置静态IP，并成功连接网络；</w:t>
      </w:r>
    </w:p>
    <w:p>
      <w:pPr>
        <w:pStyle w:val="31"/>
        <w:numPr>
          <w:ilvl w:val="0"/>
          <w:numId w:val="7"/>
        </w:numPr>
        <w:ind w:firstLineChars="0"/>
      </w:pPr>
      <w:r>
        <w:rPr>
          <w:rFonts w:hint="eastAsia"/>
        </w:rPr>
        <w:t>根据《六、设置管理员账号密码》步骤设置相应的信息</w:t>
      </w:r>
    </w:p>
    <w:p>
      <w:pPr>
        <w:pStyle w:val="31"/>
        <w:numPr>
          <w:ilvl w:val="0"/>
          <w:numId w:val="7"/>
        </w:numPr>
        <w:ind w:firstLineChars="0"/>
      </w:pPr>
      <w:r>
        <w:rPr>
          <w:rFonts w:hint="eastAsia"/>
        </w:rPr>
        <w:t>根据《七、设置平台信息和设备ID》步骤设置相应的平台信息和设备ID</w:t>
      </w:r>
    </w:p>
    <w:p>
      <w:pPr>
        <w:pStyle w:val="31"/>
        <w:numPr>
          <w:ilvl w:val="0"/>
          <w:numId w:val="7"/>
        </w:numPr>
        <w:ind w:firstLineChars="0"/>
      </w:pPr>
      <w:r>
        <w:rPr>
          <w:rFonts w:hint="eastAsia"/>
        </w:rPr>
        <w:t>通过1-5步骤后设备已经能够正常连接平台工作，同一环境下，可通过配网工具进行平台信息变更，注意为确保能正确搜索到设备，请按设备IP号进行搜索；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37839"/>
    <w:multiLevelType w:val="multilevel"/>
    <w:tmpl w:val="06D37839"/>
    <w:lvl w:ilvl="0" w:tentative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1845AC"/>
    <w:multiLevelType w:val="multilevel"/>
    <w:tmpl w:val="131845A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9A6EBA"/>
    <w:multiLevelType w:val="multilevel"/>
    <w:tmpl w:val="249A6EBA"/>
    <w:lvl w:ilvl="0" w:tentative="0">
      <w:start w:val="1"/>
      <w:numFmt w:val="decimal"/>
      <w:lvlText w:val="%1、"/>
      <w:lvlJc w:val="left"/>
      <w:pPr>
        <w:ind w:left="67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55" w:hanging="420"/>
      </w:p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abstractNum w:abstractNumId="3">
    <w:nsid w:val="28D06CEB"/>
    <w:multiLevelType w:val="multilevel"/>
    <w:tmpl w:val="28D06CEB"/>
    <w:lvl w:ilvl="0" w:tentative="0">
      <w:start w:val="1"/>
      <w:numFmt w:val="decimal"/>
      <w:lvlText w:val="%1、"/>
      <w:lvlJc w:val="left"/>
      <w:pPr>
        <w:ind w:left="780" w:hanging="36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492428CA"/>
    <w:multiLevelType w:val="multilevel"/>
    <w:tmpl w:val="492428C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93248B0"/>
    <w:multiLevelType w:val="multilevel"/>
    <w:tmpl w:val="493248B0"/>
    <w:lvl w:ilvl="0" w:tentative="0">
      <w:start w:val="1"/>
      <w:numFmt w:val="bullet"/>
      <w:pStyle w:val="22"/>
      <w:lvlText w:val=""/>
      <w:lvlJc w:val="left"/>
      <w:pPr>
        <w:ind w:left="42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16"/>
        <w:szCs w:val="16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66231C43"/>
    <w:multiLevelType w:val="multilevel"/>
    <w:tmpl w:val="66231C43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 w:ascii="Times New Roman" w:hAnsi="Times New Roman" w:cs="Times New Roman"/>
        <w:b/>
        <w:sz w:val="144"/>
        <w:szCs w:val="144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 w:ascii="Times New Roman" w:hAnsi="Times New Roman" w:cs="Times New Roman"/>
        <w:b/>
        <w:sz w:val="44"/>
        <w:szCs w:val="44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eastAsia"/>
        <w:b w:val="0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Restart w:val="1"/>
      <w:pStyle w:val="26"/>
      <w:suff w:val="space"/>
      <w:lvlText w:val="图%1-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Restart w:val="1"/>
      <w:pStyle w:val="20"/>
      <w:suff w:val="space"/>
      <w:lvlText w:val="表%1-%9"/>
      <w:lvlJc w:val="left"/>
      <w:pPr>
        <w:ind w:left="0" w:firstLine="0"/>
      </w:pPr>
      <w:rPr>
        <w:rFonts w:hint="eastAsia"/>
      </w:rPr>
    </w:lvl>
  </w:abstractNum>
  <w:num w:numId="1">
    <w:abstractNumId w:val="6"/>
  </w:num>
  <w:num w:numId="2">
    <w:abstractNumId w:val="5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F19"/>
    <w:rsid w:val="00017208"/>
    <w:rsid w:val="0002180A"/>
    <w:rsid w:val="00026A17"/>
    <w:rsid w:val="000475FE"/>
    <w:rsid w:val="00053FB0"/>
    <w:rsid w:val="00061399"/>
    <w:rsid w:val="000B3DFA"/>
    <w:rsid w:val="0012361C"/>
    <w:rsid w:val="00164E5C"/>
    <w:rsid w:val="001C3EF2"/>
    <w:rsid w:val="001C407A"/>
    <w:rsid w:val="001F043E"/>
    <w:rsid w:val="00271F62"/>
    <w:rsid w:val="00274182"/>
    <w:rsid w:val="002A7384"/>
    <w:rsid w:val="002B7A74"/>
    <w:rsid w:val="002E5A06"/>
    <w:rsid w:val="00340768"/>
    <w:rsid w:val="00362714"/>
    <w:rsid w:val="003739C1"/>
    <w:rsid w:val="00456EB3"/>
    <w:rsid w:val="0046353F"/>
    <w:rsid w:val="004A5AA0"/>
    <w:rsid w:val="004B1BE0"/>
    <w:rsid w:val="004B5B3C"/>
    <w:rsid w:val="004C180E"/>
    <w:rsid w:val="004F3823"/>
    <w:rsid w:val="00511D1E"/>
    <w:rsid w:val="005235B8"/>
    <w:rsid w:val="0058274D"/>
    <w:rsid w:val="005C27DD"/>
    <w:rsid w:val="005C756D"/>
    <w:rsid w:val="00601A42"/>
    <w:rsid w:val="00605D14"/>
    <w:rsid w:val="00607950"/>
    <w:rsid w:val="006141D6"/>
    <w:rsid w:val="006A5B5B"/>
    <w:rsid w:val="006C12F7"/>
    <w:rsid w:val="006E4EB4"/>
    <w:rsid w:val="00707F19"/>
    <w:rsid w:val="007337EC"/>
    <w:rsid w:val="00747D2E"/>
    <w:rsid w:val="00797DA4"/>
    <w:rsid w:val="007D6C41"/>
    <w:rsid w:val="00802508"/>
    <w:rsid w:val="00884230"/>
    <w:rsid w:val="008E31D9"/>
    <w:rsid w:val="008E369A"/>
    <w:rsid w:val="008F46C9"/>
    <w:rsid w:val="00941628"/>
    <w:rsid w:val="00972B9F"/>
    <w:rsid w:val="00997669"/>
    <w:rsid w:val="009A48CC"/>
    <w:rsid w:val="00A07AD5"/>
    <w:rsid w:val="00A176E6"/>
    <w:rsid w:val="00A4754F"/>
    <w:rsid w:val="00AB1E74"/>
    <w:rsid w:val="00AE2F2C"/>
    <w:rsid w:val="00B00F6F"/>
    <w:rsid w:val="00B118E0"/>
    <w:rsid w:val="00BA39EF"/>
    <w:rsid w:val="00BA6443"/>
    <w:rsid w:val="00BC6DC7"/>
    <w:rsid w:val="00BD65CF"/>
    <w:rsid w:val="00C13954"/>
    <w:rsid w:val="00C71892"/>
    <w:rsid w:val="00C91A82"/>
    <w:rsid w:val="00CD004E"/>
    <w:rsid w:val="00D009EE"/>
    <w:rsid w:val="00D0205E"/>
    <w:rsid w:val="00D938D9"/>
    <w:rsid w:val="00D9764D"/>
    <w:rsid w:val="00DA6396"/>
    <w:rsid w:val="00DF0029"/>
    <w:rsid w:val="00E30976"/>
    <w:rsid w:val="00E463F1"/>
    <w:rsid w:val="00E555E8"/>
    <w:rsid w:val="00E55847"/>
    <w:rsid w:val="00E64EDA"/>
    <w:rsid w:val="00E84A0B"/>
    <w:rsid w:val="00ED0DF6"/>
    <w:rsid w:val="00F00CBF"/>
    <w:rsid w:val="00F209C2"/>
    <w:rsid w:val="00F23802"/>
    <w:rsid w:val="00FA4C96"/>
    <w:rsid w:val="00FB1DC1"/>
    <w:rsid w:val="63A8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宋体"/>
      <w:kern w:val="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widowControl w:val="0"/>
      <w:numPr>
        <w:ilvl w:val="0"/>
        <w:numId w:val="1"/>
      </w:numPr>
      <w:spacing w:before="312" w:beforeLines="100" w:after="312" w:afterLines="100" w:line="1240" w:lineRule="exact"/>
      <w:jc w:val="right"/>
      <w:outlineLvl w:val="0"/>
    </w:pPr>
    <w:rPr>
      <w:rFonts w:ascii="Times New Roman" w:hAnsi="Times New Roman" w:eastAsia="黑体" w:cstheme="minorBidi"/>
      <w:bCs/>
      <w:kern w:val="44"/>
      <w:sz w:val="48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widowControl w:val="0"/>
      <w:numPr>
        <w:ilvl w:val="1"/>
        <w:numId w:val="1"/>
      </w:numPr>
      <w:spacing w:before="200" w:beforeLines="200" w:after="100" w:afterLines="100"/>
      <w:outlineLvl w:val="1"/>
    </w:pPr>
    <w:rPr>
      <w:rFonts w:ascii="Times New Roman" w:hAnsi="Times New Roman" w:eastAsia="黑体" w:cstheme="majorBidi"/>
      <w:bCs/>
      <w:kern w:val="2"/>
      <w:sz w:val="36"/>
      <w:szCs w:val="32"/>
    </w:rPr>
  </w:style>
  <w:style w:type="paragraph" w:styleId="4">
    <w:name w:val="heading 3"/>
    <w:basedOn w:val="1"/>
    <w:next w:val="1"/>
    <w:link w:val="17"/>
    <w:unhideWhenUsed/>
    <w:qFormat/>
    <w:uiPriority w:val="0"/>
    <w:pPr>
      <w:keepNext/>
      <w:keepLines/>
      <w:widowControl w:val="0"/>
      <w:numPr>
        <w:ilvl w:val="2"/>
        <w:numId w:val="1"/>
      </w:numPr>
      <w:spacing w:before="100" w:beforeLines="100" w:after="50" w:afterLines="50"/>
      <w:outlineLvl w:val="2"/>
    </w:pPr>
    <w:rPr>
      <w:rFonts w:ascii="Times New Roman" w:hAnsi="Times New Roman" w:eastAsia="黑体" w:cstheme="minorBidi"/>
      <w:bCs/>
      <w:kern w:val="2"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widowControl w:val="0"/>
      <w:numPr>
        <w:ilvl w:val="3"/>
        <w:numId w:val="1"/>
      </w:numPr>
      <w:spacing w:beforeLines="100"/>
      <w:outlineLvl w:val="3"/>
    </w:pPr>
    <w:rPr>
      <w:rFonts w:ascii="Times New Roman" w:hAnsi="Times New Roman" w:eastAsia="黑体" w:cstheme="majorBidi"/>
      <w:bCs/>
      <w:kern w:val="2"/>
      <w:sz w:val="28"/>
      <w:szCs w:val="28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widowControl w:val="0"/>
      <w:numPr>
        <w:ilvl w:val="4"/>
        <w:numId w:val="1"/>
      </w:numPr>
      <w:spacing w:before="100" w:beforeLines="100" w:after="50" w:afterLines="50"/>
      <w:outlineLvl w:val="4"/>
    </w:pPr>
    <w:rPr>
      <w:rFonts w:ascii="Times New Roman" w:hAnsi="Times New Roman" w:eastAsia="黑体" w:cstheme="minorBidi"/>
      <w:b/>
      <w:bCs/>
      <w:kern w:val="2"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uiPriority w:val="99"/>
    <w:pPr>
      <w:spacing w:line="360" w:lineRule="atLeast"/>
      <w:ind w:firstLine="420"/>
    </w:pPr>
    <w:rPr>
      <w:rFonts w:ascii="Times New Roman" w:hAnsi="Times New Roman" w:cs="Times New Roman"/>
    </w:rPr>
  </w:style>
  <w:style w:type="paragraph" w:styleId="8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9">
    <w:name w:val="footer"/>
    <w:basedOn w:val="1"/>
    <w:link w:val="3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2">
    <w:name w:val="Table Grid"/>
    <w:basedOn w:val="11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批注框文本 Char"/>
    <w:basedOn w:val="13"/>
    <w:link w:val="8"/>
    <w:semiHidden/>
    <w:qFormat/>
    <w:uiPriority w:val="99"/>
    <w:rPr>
      <w:rFonts w:ascii="Calibri" w:hAnsi="Calibri" w:eastAsia="宋体" w:cs="宋体"/>
      <w:kern w:val="0"/>
      <w:sz w:val="18"/>
      <w:szCs w:val="18"/>
    </w:rPr>
  </w:style>
  <w:style w:type="character" w:customStyle="1" w:styleId="15">
    <w:name w:val="标题 1 Char"/>
    <w:basedOn w:val="13"/>
    <w:link w:val="2"/>
    <w:uiPriority w:val="9"/>
    <w:rPr>
      <w:rFonts w:ascii="Times New Roman" w:hAnsi="Times New Roman" w:eastAsia="黑体"/>
      <w:bCs/>
      <w:kern w:val="44"/>
      <w:sz w:val="48"/>
      <w:szCs w:val="44"/>
    </w:rPr>
  </w:style>
  <w:style w:type="character" w:customStyle="1" w:styleId="16">
    <w:name w:val="标题 2 Char"/>
    <w:basedOn w:val="13"/>
    <w:link w:val="3"/>
    <w:uiPriority w:val="0"/>
    <w:rPr>
      <w:rFonts w:ascii="Times New Roman" w:hAnsi="Times New Roman" w:eastAsia="黑体" w:cstheme="majorBidi"/>
      <w:bCs/>
      <w:sz w:val="36"/>
      <w:szCs w:val="32"/>
    </w:rPr>
  </w:style>
  <w:style w:type="character" w:customStyle="1" w:styleId="17">
    <w:name w:val="标题 3 Char"/>
    <w:basedOn w:val="13"/>
    <w:link w:val="4"/>
    <w:uiPriority w:val="0"/>
    <w:rPr>
      <w:rFonts w:ascii="Times New Roman" w:hAnsi="Times New Roman" w:eastAsia="黑体"/>
      <w:bCs/>
      <w:sz w:val="32"/>
      <w:szCs w:val="32"/>
    </w:rPr>
  </w:style>
  <w:style w:type="character" w:customStyle="1" w:styleId="18">
    <w:name w:val="标题 4 Char"/>
    <w:basedOn w:val="13"/>
    <w:link w:val="5"/>
    <w:qFormat/>
    <w:uiPriority w:val="9"/>
    <w:rPr>
      <w:rFonts w:ascii="Times New Roman" w:hAnsi="Times New Roman" w:eastAsia="黑体" w:cstheme="majorBidi"/>
      <w:bCs/>
      <w:sz w:val="28"/>
      <w:szCs w:val="28"/>
    </w:rPr>
  </w:style>
  <w:style w:type="character" w:customStyle="1" w:styleId="19">
    <w:name w:val="标题 5 Char"/>
    <w:basedOn w:val="13"/>
    <w:link w:val="6"/>
    <w:uiPriority w:val="9"/>
    <w:rPr>
      <w:rFonts w:ascii="Times New Roman" w:hAnsi="Times New Roman" w:eastAsia="黑体"/>
      <w:b/>
      <w:bCs/>
      <w:szCs w:val="28"/>
    </w:rPr>
  </w:style>
  <w:style w:type="paragraph" w:customStyle="1" w:styleId="20">
    <w:name w:val="表格题注"/>
    <w:basedOn w:val="1"/>
    <w:next w:val="1"/>
    <w:link w:val="21"/>
    <w:qFormat/>
    <w:uiPriority w:val="0"/>
    <w:pPr>
      <w:keepNext/>
      <w:widowControl w:val="0"/>
      <w:numPr>
        <w:ilvl w:val="8"/>
        <w:numId w:val="1"/>
      </w:numPr>
      <w:ind w:left="840" w:leftChars="400"/>
      <w:jc w:val="center"/>
    </w:pPr>
    <w:rPr>
      <w:rFonts w:ascii="Times New Roman" w:hAnsi="Times New Roman" w:eastAsia="黑体" w:cstheme="minorBidi"/>
      <w:kern w:val="2"/>
      <w:szCs w:val="22"/>
    </w:rPr>
  </w:style>
  <w:style w:type="character" w:customStyle="1" w:styleId="21">
    <w:name w:val="表格题注 Char"/>
    <w:basedOn w:val="13"/>
    <w:link w:val="20"/>
    <w:qFormat/>
    <w:uiPriority w:val="0"/>
    <w:rPr>
      <w:rFonts w:ascii="Times New Roman" w:hAnsi="Times New Roman" w:eastAsia="黑体"/>
    </w:rPr>
  </w:style>
  <w:style w:type="paragraph" w:customStyle="1" w:styleId="22">
    <w:name w:val="表格圆点"/>
    <w:basedOn w:val="1"/>
    <w:link w:val="23"/>
    <w:qFormat/>
    <w:uiPriority w:val="0"/>
    <w:pPr>
      <w:widowControl w:val="0"/>
      <w:numPr>
        <w:ilvl w:val="0"/>
        <w:numId w:val="2"/>
      </w:numPr>
    </w:pPr>
    <w:rPr>
      <w:rFonts w:ascii="Times New Roman" w:hAnsi="Times New Roman" w:cs="Times New Roman" w:eastAsiaTheme="minorEastAsia"/>
      <w:kern w:val="2"/>
      <w:szCs w:val="22"/>
    </w:rPr>
  </w:style>
  <w:style w:type="character" w:customStyle="1" w:styleId="23">
    <w:name w:val="表格圆点 Char"/>
    <w:basedOn w:val="13"/>
    <w:link w:val="22"/>
    <w:uiPriority w:val="0"/>
    <w:rPr>
      <w:rFonts w:ascii="Times New Roman" w:hAnsi="Times New Roman" w:cs="Times New Roman"/>
    </w:rPr>
  </w:style>
  <w:style w:type="paragraph" w:customStyle="1" w:styleId="24">
    <w:name w:val="插图对齐"/>
    <w:basedOn w:val="1"/>
    <w:next w:val="1"/>
    <w:link w:val="25"/>
    <w:qFormat/>
    <w:uiPriority w:val="0"/>
    <w:pPr>
      <w:widowControl w:val="0"/>
      <w:ind w:left="840" w:leftChars="400"/>
      <w:jc w:val="center"/>
    </w:pPr>
    <w:rPr>
      <w:rFonts w:ascii="Times New Roman" w:hAnsi="Times New Roman" w:eastAsiaTheme="minorEastAsia" w:cstheme="minorBidi"/>
      <w:kern w:val="2"/>
      <w:szCs w:val="22"/>
    </w:rPr>
  </w:style>
  <w:style w:type="character" w:customStyle="1" w:styleId="25">
    <w:name w:val="插图对齐 Char"/>
    <w:basedOn w:val="13"/>
    <w:link w:val="24"/>
    <w:qFormat/>
    <w:uiPriority w:val="0"/>
    <w:rPr>
      <w:rFonts w:ascii="Times New Roman" w:hAnsi="Times New Roman"/>
    </w:rPr>
  </w:style>
  <w:style w:type="paragraph" w:customStyle="1" w:styleId="26">
    <w:name w:val="插图题注"/>
    <w:basedOn w:val="1"/>
    <w:next w:val="24"/>
    <w:link w:val="27"/>
    <w:qFormat/>
    <w:uiPriority w:val="0"/>
    <w:pPr>
      <w:keepNext/>
      <w:widowControl w:val="0"/>
      <w:numPr>
        <w:ilvl w:val="7"/>
        <w:numId w:val="1"/>
      </w:numPr>
      <w:ind w:left="840" w:leftChars="400"/>
      <w:jc w:val="center"/>
    </w:pPr>
    <w:rPr>
      <w:rFonts w:ascii="Times New Roman" w:hAnsi="Times New Roman" w:eastAsia="黑体" w:cstheme="minorBidi"/>
      <w:kern w:val="2"/>
      <w:szCs w:val="22"/>
    </w:rPr>
  </w:style>
  <w:style w:type="character" w:customStyle="1" w:styleId="27">
    <w:name w:val="插图题注 Char"/>
    <w:basedOn w:val="13"/>
    <w:link w:val="26"/>
    <w:qFormat/>
    <w:uiPriority w:val="0"/>
    <w:rPr>
      <w:rFonts w:ascii="Times New Roman" w:hAnsi="Times New Roman" w:eastAsia="黑体"/>
    </w:rPr>
  </w:style>
  <w:style w:type="paragraph" w:customStyle="1" w:styleId="28">
    <w:name w:val="表格正文"/>
    <w:basedOn w:val="1"/>
    <w:link w:val="30"/>
    <w:qFormat/>
    <w:uiPriority w:val="0"/>
    <w:pPr>
      <w:widowControl w:val="0"/>
    </w:pPr>
    <w:rPr>
      <w:rFonts w:ascii="Times New Roman" w:hAnsi="Times New Roman" w:eastAsiaTheme="minorEastAsia" w:cstheme="minorBidi"/>
      <w:kern w:val="2"/>
      <w:szCs w:val="22"/>
    </w:rPr>
  </w:style>
  <w:style w:type="paragraph" w:customStyle="1" w:styleId="29">
    <w:name w:val="表头格式"/>
    <w:basedOn w:val="1"/>
    <w:qFormat/>
    <w:uiPriority w:val="0"/>
    <w:pPr>
      <w:widowControl w:val="0"/>
    </w:pPr>
    <w:rPr>
      <w:rFonts w:ascii="Times New Roman" w:hAnsi="Times New Roman" w:eastAsia="黑体" w:cs="Times New Roman"/>
      <w:kern w:val="2"/>
      <w:szCs w:val="22"/>
    </w:rPr>
  </w:style>
  <w:style w:type="character" w:customStyle="1" w:styleId="30">
    <w:name w:val="表格正文 Char"/>
    <w:link w:val="28"/>
    <w:qFormat/>
    <w:uiPriority w:val="0"/>
    <w:rPr>
      <w:rFonts w:ascii="Times New Roman" w:hAnsi="Times New Roman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页眉 Char"/>
    <w:basedOn w:val="13"/>
    <w:link w:val="10"/>
    <w:uiPriority w:val="99"/>
    <w:rPr>
      <w:rFonts w:ascii="Calibri" w:hAnsi="Calibri" w:eastAsia="宋体" w:cs="宋体"/>
      <w:kern w:val="0"/>
      <w:sz w:val="18"/>
      <w:szCs w:val="18"/>
    </w:rPr>
  </w:style>
  <w:style w:type="character" w:customStyle="1" w:styleId="33">
    <w:name w:val="页脚 Char"/>
    <w:basedOn w:val="13"/>
    <w:link w:val="9"/>
    <w:qFormat/>
    <w:uiPriority w:val="99"/>
    <w:rPr>
      <w:rFonts w:ascii="Calibri" w:hAnsi="Calibri" w:eastAsia="宋体" w:cs="宋体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12</Pages>
  <Words>440</Words>
  <Characters>2512</Characters>
  <Lines>20</Lines>
  <Paragraphs>5</Paragraphs>
  <TotalTime>425</TotalTime>
  <ScaleCrop>false</ScaleCrop>
  <LinksUpToDate>false</LinksUpToDate>
  <CharactersWithSpaces>2947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2018-08-24T01:38:00Z</dcterms:created>
  <dc:creator>NTKO</dc:creator>
  <cp:lastModifiedBy>@MICHAEL</cp:lastModifiedBy>
  <dcterms:modified xsi:type="dcterms:W3CDTF">2020-12-04T06:26:37Z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