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183F" w14:textId="77777777" w:rsidR="00CE1BCE" w:rsidRDefault="00000000">
      <w:pPr>
        <w:spacing w:before="1840" w:after="0" w:line="240" w:lineRule="auto"/>
        <w:jc w:val="center"/>
      </w:pPr>
      <w:r>
        <w:rPr>
          <w:b/>
          <w:color w:val="2C3E50"/>
          <w:sz w:val="52"/>
        </w:rPr>
        <w:t>LEGAL ANALYSIS</w:t>
      </w:r>
    </w:p>
    <w:p w14:paraId="2F88FCBC" w14:textId="77777777" w:rsidR="00CE1BCE" w:rsidRDefault="00000000">
      <w:pPr>
        <w:spacing w:after="640" w:line="240" w:lineRule="auto"/>
        <w:jc w:val="center"/>
        <w:rPr>
          <w:color w:val="2C3E50"/>
          <w:sz w:val="36"/>
        </w:rPr>
      </w:pPr>
      <w:r>
        <w:rPr>
          <w:color w:val="2C3E50"/>
          <w:sz w:val="36"/>
        </w:rPr>
        <w:t>&amp; DEFENCE INSTRUCTIONS</w:t>
      </w:r>
    </w:p>
    <w:p w14:paraId="2A6C3B9B" w14:textId="77777777" w:rsidR="00747F4E" w:rsidRDefault="00747F4E">
      <w:pPr>
        <w:spacing w:after="640" w:line="240" w:lineRule="auto"/>
        <w:jc w:val="center"/>
      </w:pPr>
    </w:p>
    <w:p w14:paraId="35547597" w14:textId="4570FB1C" w:rsidR="00CE1BCE" w:rsidRDefault="00747F4E">
      <w:pPr>
        <w:spacing w:after="200" w:line="240" w:lineRule="auto"/>
        <w:ind w:left="2736"/>
      </w:pPr>
      <w:r>
        <w:rPr>
          <w:b/>
          <w:bCs/>
        </w:rPr>
        <w:t xml:space="preserve">Location: </w:t>
      </w:r>
      <w:r>
        <w:t>Manukau District Court</w:t>
      </w:r>
    </w:p>
    <w:p w14:paraId="08BE5362" w14:textId="77777777" w:rsidR="00747F4E" w:rsidRDefault="00747F4E">
      <w:pPr>
        <w:spacing w:after="200" w:line="240" w:lineRule="auto"/>
        <w:ind w:left="2736"/>
      </w:pPr>
    </w:p>
    <w:p w14:paraId="042FEBAA" w14:textId="77777777" w:rsidR="00CE1BCE" w:rsidRDefault="00000000">
      <w:pPr>
        <w:spacing w:after="200" w:line="240" w:lineRule="auto"/>
        <w:ind w:left="2736"/>
      </w:pPr>
      <w:r>
        <w:rPr>
          <w:b/>
        </w:rPr>
        <w:t xml:space="preserve">Charge: </w:t>
      </w:r>
      <w:r>
        <w:t>Possession of GBL</w:t>
      </w:r>
    </w:p>
    <w:p w14:paraId="53E0A220" w14:textId="77777777" w:rsidR="00747F4E" w:rsidRDefault="00747F4E">
      <w:pPr>
        <w:spacing w:after="200" w:line="240" w:lineRule="auto"/>
        <w:ind w:left="2736"/>
      </w:pPr>
    </w:p>
    <w:p w14:paraId="3D708903" w14:textId="77777777" w:rsidR="00CE1BCE" w:rsidRDefault="00000000">
      <w:pPr>
        <w:spacing w:after="200" w:line="240" w:lineRule="auto"/>
        <w:ind w:left="2736"/>
      </w:pPr>
      <w:r>
        <w:rPr>
          <w:b/>
        </w:rPr>
        <w:t xml:space="preserve">Statute: </w:t>
      </w:r>
      <w:r>
        <w:t>Misuse of Drugs Act 1975 Section 7(1)(a) &amp; (2)</w:t>
      </w:r>
    </w:p>
    <w:p w14:paraId="2021485A" w14:textId="77777777" w:rsidR="00747F4E" w:rsidRDefault="00747F4E">
      <w:pPr>
        <w:spacing w:after="200" w:line="240" w:lineRule="auto"/>
        <w:ind w:left="2736"/>
      </w:pPr>
    </w:p>
    <w:p w14:paraId="21451108" w14:textId="77777777" w:rsidR="00CE1BCE" w:rsidRDefault="00000000">
      <w:pPr>
        <w:spacing w:after="200" w:line="240" w:lineRule="auto"/>
        <w:ind w:left="2736"/>
      </w:pPr>
      <w:r w:rsidRPr="00747F4E">
        <w:rPr>
          <w:b/>
          <w:bCs/>
        </w:rPr>
        <w:t>Prepared:</w:t>
      </w:r>
      <w:r>
        <w:t xml:space="preserve"> 28 June 2026</w:t>
      </w:r>
    </w:p>
    <w:p w14:paraId="71AB2AAF" w14:textId="36DF1986" w:rsidR="00CE1BCE" w:rsidRDefault="00CE1BCE" w:rsidP="00747F4E">
      <w:pPr>
        <w:spacing w:before="760" w:after="0" w:line="240" w:lineRule="auto"/>
      </w:pPr>
    </w:p>
    <w:p w14:paraId="3A1EC2E4" w14:textId="77777777" w:rsidR="00CE1BCE" w:rsidRDefault="00000000">
      <w:pPr>
        <w:pStyle w:val="Heading1"/>
      </w:pPr>
      <w:r>
        <w:rPr>
          <w:color w:val="2C3E50"/>
          <w:sz w:val="32"/>
        </w:rPr>
        <w:lastRenderedPageBreak/>
        <w:t>TABLE OF CONTENTS</w:t>
      </w:r>
    </w:p>
    <w:p w14:paraId="49277B72" w14:textId="77777777" w:rsidR="00CE1BCE" w:rsidRDefault="00CE1BCE"/>
    <w:p w14:paraId="0AB79D5C" w14:textId="77777777" w:rsidR="00CE1BCE" w:rsidRDefault="00000000">
      <w:r>
        <w:t>1. EXECUTIVE SUMMARY</w:t>
      </w:r>
    </w:p>
    <w:p w14:paraId="411C76D6" w14:textId="77777777" w:rsidR="00CE1BCE" w:rsidRDefault="00000000">
      <w:r>
        <w:t>2. CHARGE AND LEGISLATIVE FRAMEWORK</w:t>
      </w:r>
    </w:p>
    <w:p w14:paraId="7C07D438" w14:textId="77777777" w:rsidR="00CE1BCE" w:rsidRDefault="00000000">
      <w:r>
        <w:t>3. SUMMARY OF EVIDENCE</w:t>
      </w:r>
    </w:p>
    <w:p w14:paraId="53655870" w14:textId="77777777" w:rsidR="00CE1BCE" w:rsidRDefault="00000000">
      <w:r>
        <w:t>4. ASSESSMENT OF PROSECUTION CASE</w:t>
      </w:r>
    </w:p>
    <w:p w14:paraId="71FE9055" w14:textId="77777777" w:rsidR="00CE1BCE" w:rsidRDefault="00000000">
      <w:r>
        <w:t>5. EVIDENCE ANALYSIS</w:t>
      </w:r>
    </w:p>
    <w:p w14:paraId="4DF4104D" w14:textId="77777777" w:rsidR="00CE1BCE" w:rsidRDefault="00000000">
      <w:r>
        <w:t>6. ELEMENTS THE PROSECUTION MUST PROVE</w:t>
      </w:r>
    </w:p>
    <w:p w14:paraId="27224AE4" w14:textId="77777777" w:rsidR="00CE1BCE" w:rsidRDefault="00000000">
      <w:r>
        <w:t>7. DEFENCE STRATEGIES AND OPTIONS</w:t>
      </w:r>
    </w:p>
    <w:p w14:paraId="699FDC66" w14:textId="77777777" w:rsidR="00CE1BCE" w:rsidRDefault="00000000">
      <w:r>
        <w:t>8. CROSS-EXAMINATION PRIORITIES</w:t>
      </w:r>
    </w:p>
    <w:p w14:paraId="34D73183" w14:textId="77777777" w:rsidR="00CE1BCE" w:rsidRDefault="00000000">
      <w:r>
        <w:t>9. DISCLOSURE AND FORENSIC GAPS</w:t>
      </w:r>
    </w:p>
    <w:p w14:paraId="3E933D1D" w14:textId="77777777" w:rsidR="00CE1BCE" w:rsidRDefault="00000000">
      <w:r>
        <w:t>10. INSTRUCTIONS TO COUNSEL PRE-TRIAL</w:t>
      </w:r>
    </w:p>
    <w:p w14:paraId="319C692A" w14:textId="77777777" w:rsidR="00CE1BCE" w:rsidRDefault="00000000">
      <w:r>
        <w:t>11. EVIDENTIARY ISSUES TO RAISE</w:t>
      </w:r>
    </w:p>
    <w:p w14:paraId="587B2BC0" w14:textId="77777777" w:rsidR="00CE1BCE" w:rsidRDefault="00000000">
      <w:r>
        <w:t>12. CONCLUSION</w:t>
      </w:r>
    </w:p>
    <w:p w14:paraId="2497A9C9" w14:textId="77777777" w:rsidR="00CE1BCE" w:rsidRDefault="00000000">
      <w:pPr>
        <w:pStyle w:val="Heading1"/>
      </w:pPr>
      <w:r>
        <w:rPr>
          <w:color w:val="2C3E50"/>
          <w:sz w:val="32"/>
        </w:rPr>
        <w:lastRenderedPageBreak/>
        <w:t>1. EXECUTIVE SUMMARY</w:t>
      </w:r>
    </w:p>
    <w:p w14:paraId="695953F7" w14:textId="77777777" w:rsidR="00CE1BCE" w:rsidRDefault="00000000">
      <w:r>
        <w:rPr>
          <w:b/>
        </w:rPr>
        <w:t>Legal Basis:</w:t>
      </w:r>
      <w:r>
        <w:t xml:space="preserve"> The defendant, James Joseph LIM, is charged with possession of Gamma-Butyrolactone (GBL), a Class B controlled drug under the Misuse of Drugs Act 1975. The central evidentiary pillar for the prosecution rests on forensic testing results and alleged admissions made by the defendant during police interactions. Key officers involved include Constable Taylor Ashby, Sergeant Tod Lawrence KIRKER, and seizing officer Adeeb Althaf. Defence counsel must focus on challenging the voluntariness of any admission, raising reasonable doubt about actual knowledge, and questioning the chain-of-custody for seized items. The overall assessment is that there are significant weaknesses in the prosecution's case.</w:t>
      </w:r>
    </w:p>
    <w:p w14:paraId="22F723AB" w14:textId="77777777" w:rsidR="00CE1BCE" w:rsidRDefault="00000000">
      <w:pPr>
        <w:pStyle w:val="Heading1"/>
      </w:pPr>
      <w:r>
        <w:rPr>
          <w:color w:val="2C3E50"/>
          <w:sz w:val="32"/>
        </w:rPr>
        <w:t>2. CHARGE AND LEGISLATIVE FRAMEWORK</w:t>
      </w:r>
    </w:p>
    <w:p w14:paraId="7E20110A" w14:textId="77777777" w:rsidR="00CE1BCE" w:rsidRDefault="00000000">
      <w:r>
        <w:t>Possession of GBL.</w:t>
      </w:r>
    </w:p>
    <w:p w14:paraId="2F3A9622" w14:textId="77777777" w:rsidR="00CE1BCE" w:rsidRDefault="00000000">
      <w:r>
        <w:rPr>
          <w:b/>
        </w:rPr>
        <w:t>Legal Basis:</w:t>
      </w:r>
      <w:r>
        <w:t xml:space="preserve"> - Relevant Legislation: Misuse of Drugs Act 1975 Section 7(1)(a) &amp; (2).</w:t>
      </w:r>
    </w:p>
    <w:p w14:paraId="759E6699" w14:textId="77777777" w:rsidR="00CE1BCE" w:rsidRDefault="00000000">
      <w:pPr>
        <w:ind w:left="360"/>
      </w:pPr>
      <w:r>
        <w:t>• Maximum Penalty: 3 Months imprisonment, $500.00 fine.</w:t>
      </w:r>
    </w:p>
    <w:p w14:paraId="2892C241" w14:textId="10CBB7A4" w:rsidR="00CE1BCE" w:rsidRDefault="00747F4E">
      <w:pPr>
        <w:pStyle w:val="Heading1"/>
      </w:pPr>
      <w:r>
        <w:t>3. SUMMARY OF EVIDENCE</w:t>
      </w:r>
    </w:p>
    <w:p w14:paraId="2132FAC0" w14:textId="77777777" w:rsidR="00CE1BCE" w:rsidRDefault="00000000">
      <w:r>
        <w:t>Police executed a search warrant and subsequent warrantless searches for drugs based on reasonable suspicion, seizing GBL in a white bottle from under the kitchen sink.</w:t>
      </w:r>
    </w:p>
    <w:p w14:paraId="3BCA6800" w14:textId="77777777" w:rsidR="00CE1BCE" w:rsidRDefault="00000000">
      <w:pPr>
        <w:ind w:left="360"/>
      </w:pPr>
      <w:r>
        <w:t>• Seized Evidence: A clear liquid substance in a plastic bottle identified as GBL, droppers, and other suspected drug substances found near the defendant's phone and wallet.</w:t>
      </w:r>
    </w:p>
    <w:p w14:paraId="5F049014" w14:textId="77777777" w:rsidR="00CE1BCE" w:rsidRDefault="00000000">
      <w:pPr>
        <w:ind w:left="360"/>
      </w:pPr>
      <w:r>
        <w:t>• Forensic Testing: PHF Science confirmed that one of the seized items was GBL. The testing involved laser analysis without removing the liquid from its container due to health and safety policies at Customs.</w:t>
      </w:r>
    </w:p>
    <w:p w14:paraId="4D18456D" w14:textId="77777777" w:rsidR="00CE1BCE" w:rsidRDefault="00000000">
      <w:pPr>
        <w:ind w:left="360"/>
      </w:pPr>
      <w:r>
        <w:t>• Defendant's Conduct: LIM spoke with his lawyer before declining to sign a notebook entry detailing his admission, which would have warranted a formal warning.</w:t>
      </w:r>
    </w:p>
    <w:p w14:paraId="372C5199" w14:textId="40310D8C" w:rsidR="00CE1BCE" w:rsidRDefault="00747F4E">
      <w:pPr>
        <w:pStyle w:val="Heading1"/>
      </w:pPr>
      <w:r>
        <w:t>4. ASSESSMENT OF PROSECUTION CASE</w:t>
      </w:r>
    </w:p>
    <w:p w14:paraId="3A431CBF" w14:textId="77777777" w:rsidR="00CE1BCE" w:rsidRDefault="00000000" w:rsidP="00747F4E">
      <w:pPr>
        <w:pStyle w:val="Heading2"/>
      </w:pPr>
      <w:r>
        <w:t>Strengths</w:t>
      </w:r>
    </w:p>
    <w:p w14:paraId="3BB28DC6" w14:textId="77777777" w:rsidR="00CE1BCE" w:rsidRDefault="00000000">
      <w:r>
        <w:t xml:space="preserve">1. </w:t>
      </w:r>
      <w:r w:rsidRPr="00747F4E">
        <w:rPr>
          <w:b/>
          <w:bCs/>
        </w:rPr>
        <w:t>Forensic testing</w:t>
      </w:r>
      <w:r>
        <w:t xml:space="preserve"> confirmed the presence of GBL in a seized bottle.</w:t>
      </w:r>
    </w:p>
    <w:p w14:paraId="4BF5BC39" w14:textId="77777777" w:rsidR="00CE1BCE" w:rsidRDefault="00000000">
      <w:r>
        <w:t xml:space="preserve">2. </w:t>
      </w:r>
      <w:r w:rsidRPr="00747F4E">
        <w:rPr>
          <w:b/>
          <w:bCs/>
        </w:rPr>
        <w:t>Seized items</w:t>
      </w:r>
      <w:r>
        <w:t xml:space="preserve"> were found near LIM's personal belongings, suggesting potential control or custody.</w:t>
      </w:r>
    </w:p>
    <w:p w14:paraId="2D42A1A3" w14:textId="77777777" w:rsidR="00CE1BCE" w:rsidRDefault="00000000">
      <w:pPr>
        <w:pStyle w:val="Heading2"/>
      </w:pPr>
      <w:r>
        <w:rPr>
          <w:color w:val="34495E"/>
        </w:rPr>
        <w:t>Weaknesses</w:t>
      </w:r>
    </w:p>
    <w:p w14:paraId="703FB644" w14:textId="77777777" w:rsidR="00CE1BCE" w:rsidRDefault="00000000">
      <w:r>
        <w:t xml:space="preserve">1. </w:t>
      </w:r>
      <w:r>
        <w:rPr>
          <w:b/>
        </w:rPr>
        <w:t>Chain of Custody Issues</w:t>
      </w:r>
      <w:r>
        <w:t>: There are gaps in the chain of custody for the seized items, particularly regarding the exact times when LIM was present during searches and seizures.</w:t>
      </w:r>
    </w:p>
    <w:p w14:paraId="5740368D" w14:textId="3010EC2B" w:rsidR="00CE1BCE" w:rsidRDefault="00747F4E" w:rsidP="00747F4E">
      <w:r>
        <w:t xml:space="preserve">2. </w:t>
      </w:r>
      <w:r>
        <w:rPr>
          <w:b/>
        </w:rPr>
        <w:t>Lack of Witness Consistency</w:t>
      </w:r>
      <w:r>
        <w:t>: Multiple officers were involved in the search and seizure process, but there is no consistent record of their actions or observations at each step.</w:t>
      </w:r>
    </w:p>
    <w:p w14:paraId="5579B622" w14:textId="3ED034CB" w:rsidR="00CE1BCE" w:rsidRDefault="00747F4E" w:rsidP="00747F4E">
      <w:r>
        <w:t xml:space="preserve">3. </w:t>
      </w:r>
      <w:r>
        <w:rPr>
          <w:b/>
        </w:rPr>
        <w:t>Defendant's Admission Reliability</w:t>
      </w:r>
      <w:r>
        <w:t>: The defendant initially admitted to the GBL substance being correct but later declined to sign the notebook entry detailing this admission. This raises questions about the voluntariness and reliability of his statement.</w:t>
      </w:r>
    </w:p>
    <w:p w14:paraId="394D1A4E" w14:textId="37A04C11" w:rsidR="00CE1BCE" w:rsidRDefault="00747F4E">
      <w:pPr>
        <w:pStyle w:val="Heading1"/>
      </w:pPr>
      <w:r>
        <w:t>5. EVIDENCE ANALYSIS</w:t>
      </w:r>
    </w:p>
    <w:p w14:paraId="5DF70803" w14:textId="77777777" w:rsidR="00CE1BCE" w:rsidRDefault="00000000">
      <w:r>
        <w:t>Police executed a search warrant and subsequent warrantless searches for drugs based on reasonable suspicion, seizing GBL in a white bottle from under the kitchen sink.</w:t>
      </w:r>
    </w:p>
    <w:p w14:paraId="68FB4795" w14:textId="77777777" w:rsidR="00CE1BCE" w:rsidRDefault="00000000">
      <w:pPr>
        <w:ind w:left="360"/>
      </w:pPr>
      <w:r>
        <w:t>• Seized Evidence: A clear liquid substance in a plastic bottle identified as GBL, droppers, and other suspected drug substances found near the defendant's phone and wallet.</w:t>
      </w:r>
    </w:p>
    <w:p w14:paraId="0AF61FEF" w14:textId="77777777" w:rsidR="00CE1BCE" w:rsidRDefault="00000000">
      <w:pPr>
        <w:ind w:left="360"/>
      </w:pPr>
      <w:r>
        <w:t>• Forensic Testing: PHF Science confirmed that one of the seized items was GBL. The testing involved laser analysis without removing the liquid from its container due to health and safety policies at Customs.</w:t>
      </w:r>
    </w:p>
    <w:p w14:paraId="1F33D085" w14:textId="77777777" w:rsidR="00CE1BCE" w:rsidRDefault="00000000">
      <w:pPr>
        <w:ind w:left="360"/>
      </w:pPr>
      <w:r>
        <w:t>• Defendant's Conduct: LIM spoke with his lawyer before declining to sign a notebook entry detailing his admission, which would have warranted a formal warning.</w:t>
      </w:r>
    </w:p>
    <w:p w14:paraId="21D336BD" w14:textId="77777777" w:rsidR="00CE1BCE" w:rsidRDefault="00000000">
      <w:pPr>
        <w:ind w:left="360"/>
      </w:pPr>
      <w:r>
        <w:t>Strengths</w:t>
      </w:r>
    </w:p>
    <w:p w14:paraId="3EE7C1E2" w14:textId="77777777" w:rsidR="00CE1BCE" w:rsidRDefault="00000000">
      <w:r>
        <w:t>1. Forensic testing confirmed the presence of GBL in a seized bottle.</w:t>
      </w:r>
    </w:p>
    <w:p w14:paraId="5C05D10B" w14:textId="77777777" w:rsidR="00CE1BCE" w:rsidRDefault="00000000">
      <w:r>
        <w:t>2. Seized items were found near LIM's personal belongings, suggesting potential control or custody.</w:t>
      </w:r>
    </w:p>
    <w:p w14:paraId="663179F2" w14:textId="4CC6F522" w:rsidR="00CE1BCE" w:rsidRDefault="00A65EF4">
      <w:pPr>
        <w:pStyle w:val="Heading1"/>
      </w:pPr>
      <w:r>
        <w:t>6. ELEMENTS THE PROSECUTION MUST PROVE</w:t>
      </w:r>
    </w:p>
    <w:p w14:paraId="132028C9" w14:textId="77777777" w:rsidR="00CE1BCE" w:rsidRPr="00F91A39" w:rsidRDefault="00000000">
      <w:pPr>
        <w:rPr>
          <w:b/>
          <w:bCs/>
        </w:rPr>
      </w:pPr>
      <w:r w:rsidRPr="00F91A39">
        <w:rPr>
          <w:b/>
          <w:bCs/>
        </w:rPr>
        <w:t>1. The defendant had custody or control of the substance.</w:t>
      </w:r>
    </w:p>
    <w:p w14:paraId="53C961C3" w14:textId="77777777" w:rsidR="00CE1BCE" w:rsidRDefault="00000000">
      <w:pPr>
        <w:ind w:left="360"/>
      </w:pPr>
      <w:r>
        <w:t>Seized items included GBL in a bottle near LIM's phone and wallet.</w:t>
      </w:r>
    </w:p>
    <w:p w14:paraId="6FB85F43" w14:textId="77777777" w:rsidR="00CE1BCE" w:rsidRDefault="00000000">
      <w:pPr>
        <w:ind w:left="360"/>
      </w:pPr>
      <w:r>
        <w:t>• Defence Response/Weaknesses: No direct evidence linking LIM to actual possession; chain-of-custody issues with seized items.</w:t>
      </w:r>
    </w:p>
    <w:p w14:paraId="0F2B7CFC" w14:textId="77777777" w:rsidR="00CE1BCE" w:rsidRDefault="00000000">
      <w:pPr>
        <w:ind w:left="360"/>
      </w:pPr>
      <w:r>
        <w:t>• Assessment: UNCLEAR beyond reasonable doubt.</w:t>
      </w:r>
    </w:p>
    <w:p w14:paraId="12669BE7" w14:textId="77777777" w:rsidR="00CE1BCE" w:rsidRPr="00F91A39" w:rsidRDefault="00000000">
      <w:pPr>
        <w:rPr>
          <w:b/>
          <w:bCs/>
        </w:rPr>
      </w:pPr>
      <w:r w:rsidRPr="00F91A39">
        <w:rPr>
          <w:b/>
          <w:bCs/>
        </w:rPr>
        <w:t xml:space="preserve">2. The defendant </w:t>
      </w:r>
      <w:proofErr w:type="gramStart"/>
      <w:r w:rsidRPr="00F91A39">
        <w:rPr>
          <w:b/>
          <w:bCs/>
        </w:rPr>
        <w:t>actually knew</w:t>
      </w:r>
      <w:proofErr w:type="gramEnd"/>
      <w:r w:rsidRPr="00F91A39">
        <w:rPr>
          <w:b/>
          <w:bCs/>
        </w:rPr>
        <w:t xml:space="preserve"> that the substance was a controlled drug.</w:t>
      </w:r>
    </w:p>
    <w:p w14:paraId="0577A3EB" w14:textId="77777777" w:rsidR="00CE1BCE" w:rsidRDefault="00000000">
      <w:pPr>
        <w:ind w:left="360"/>
      </w:pPr>
      <w:r>
        <w:t>• Prosecution Evidence: Alleged admission by LIM acknowledging GBL's identity as a controlled drug.</w:t>
      </w:r>
    </w:p>
    <w:p w14:paraId="59D82E49" w14:textId="77777777" w:rsidR="00CE1BCE" w:rsidRDefault="00000000">
      <w:pPr>
        <w:ind w:left="360"/>
      </w:pPr>
      <w:r>
        <w:t>• Defence Response/Weaknesses: Voluntariness of admission questioned; inducement offered (formal warning); no subjective knowledge established beyond reasonable doubt.</w:t>
      </w:r>
    </w:p>
    <w:p w14:paraId="55747E09" w14:textId="17859E98" w:rsidR="00A65EF4" w:rsidRDefault="00000000">
      <w:pPr>
        <w:ind w:left="360"/>
      </w:pPr>
      <w:r>
        <w:t>• Assessment: UNCLEAR beyond reasonable doubt.</w:t>
      </w:r>
    </w:p>
    <w:p w14:paraId="7113FF1A" w14:textId="1037D501" w:rsidR="00CE1BCE" w:rsidRDefault="00A65EF4">
      <w:pPr>
        <w:pStyle w:val="Heading1"/>
      </w:pPr>
      <w:r>
        <w:t>7. DEFENCE STRATEGIES AND OPTIONS</w:t>
      </w:r>
    </w:p>
    <w:p w14:paraId="3B51E743" w14:textId="7FB85634" w:rsidR="00CE1BCE" w:rsidRPr="00747F4E" w:rsidRDefault="00000000">
      <w:pPr>
        <w:rPr>
          <w:b/>
          <w:bCs/>
        </w:rPr>
      </w:pPr>
      <w:r w:rsidRPr="00F91A39">
        <w:rPr>
          <w:b/>
          <w:bCs/>
        </w:rPr>
        <w:t>A</w:t>
      </w:r>
      <w:r w:rsidR="00F91A39" w:rsidRPr="00F91A39">
        <w:rPr>
          <w:b/>
          <w:bCs/>
        </w:rPr>
        <w:t xml:space="preserve">.  </w:t>
      </w:r>
      <w:r w:rsidRPr="00747F4E">
        <w:rPr>
          <w:b/>
          <w:bCs/>
        </w:rPr>
        <w:t>Challenge the alleged admission</w:t>
      </w:r>
    </w:p>
    <w:p w14:paraId="5021C91C" w14:textId="77777777" w:rsidR="00CE1BCE" w:rsidRDefault="00000000">
      <w:pPr>
        <w:ind w:left="360"/>
      </w:pPr>
      <w:r>
        <w:t>• The defendant spoke to his lawyer before declining to sign the notebook entry detailing his admission.</w:t>
      </w:r>
    </w:p>
    <w:p w14:paraId="3B2D13DC" w14:textId="77777777" w:rsidR="00CE1BCE" w:rsidRDefault="00000000">
      <w:pPr>
        <w:ind w:left="360"/>
      </w:pPr>
      <w:r>
        <w:t>• Inducement offered (formal warning).</w:t>
      </w:r>
    </w:p>
    <w:p w14:paraId="4B5FACD9" w14:textId="77777777" w:rsidR="00CE1BCE" w:rsidRDefault="00000000">
      <w:pPr>
        <w:ind w:left="360"/>
      </w:pPr>
      <w:r>
        <w:t>• No subjective knowledge established beyond reasonable doubt.</w:t>
      </w:r>
    </w:p>
    <w:p w14:paraId="3076D713" w14:textId="77777777" w:rsidR="00CE1BCE" w:rsidRDefault="00000000">
      <w:pPr>
        <w:ind w:left="360"/>
      </w:pPr>
      <w:r>
        <w:rPr>
          <w:b/>
        </w:rPr>
        <w:t>Legal Basis:</w:t>
      </w:r>
      <w:r>
        <w:t xml:space="preserve"> NZBORA s 24(1)(d).</w:t>
      </w:r>
    </w:p>
    <w:p w14:paraId="77B75F2A" w14:textId="7045F1FB" w:rsidR="00CE1BCE" w:rsidRDefault="00000000">
      <w:r w:rsidRPr="00F91A39">
        <w:rPr>
          <w:b/>
          <w:bCs/>
        </w:rPr>
        <w:t>B.</w:t>
      </w:r>
      <w:r w:rsidR="00747F4E" w:rsidRPr="00F91A39">
        <w:rPr>
          <w:b/>
          <w:bCs/>
        </w:rPr>
        <w:t xml:space="preserve"> </w:t>
      </w:r>
      <w:r w:rsidRPr="00747F4E">
        <w:rPr>
          <w:b/>
          <w:bCs/>
        </w:rPr>
        <w:t>Raise reasonable doubt about actual knowledge</w:t>
      </w:r>
    </w:p>
    <w:p w14:paraId="50CAD73A" w14:textId="77777777" w:rsidR="00CE1BCE" w:rsidRDefault="00000000">
      <w:pPr>
        <w:ind w:left="360"/>
      </w:pPr>
      <w:r>
        <w:t>• The defendant's alleged admission does not establish subjective knowledge of the substance being a controlled drug.</w:t>
      </w:r>
    </w:p>
    <w:p w14:paraId="10AFA769" w14:textId="77777777" w:rsidR="00CE1BCE" w:rsidRDefault="00000000">
      <w:pPr>
        <w:ind w:left="360"/>
      </w:pPr>
      <w:r>
        <w:rPr>
          <w:b/>
        </w:rPr>
        <w:t>Legal Basis:</w:t>
      </w:r>
      <w:r>
        <w:t xml:space="preserve"> Misuse of Drugs Act 1975 Section 7(2).</w:t>
      </w:r>
    </w:p>
    <w:p w14:paraId="10921BA2" w14:textId="35AA5126" w:rsidR="00CE1BCE" w:rsidRPr="00F91A39" w:rsidRDefault="00000000">
      <w:pPr>
        <w:rPr>
          <w:b/>
          <w:bCs/>
        </w:rPr>
      </w:pPr>
      <w:r w:rsidRPr="00F91A39">
        <w:rPr>
          <w:b/>
          <w:bCs/>
        </w:rPr>
        <w:t>C.</w:t>
      </w:r>
      <w:r w:rsidR="00F91A39" w:rsidRPr="00F91A39">
        <w:rPr>
          <w:b/>
          <w:bCs/>
        </w:rPr>
        <w:t xml:space="preserve"> </w:t>
      </w:r>
      <w:r w:rsidRPr="00F91A39">
        <w:rPr>
          <w:b/>
          <w:bCs/>
        </w:rPr>
        <w:t>Question chain-of-custody for seized items</w:t>
      </w:r>
    </w:p>
    <w:p w14:paraId="503AC535" w14:textId="77777777" w:rsidR="00CE1BCE" w:rsidRDefault="00000000">
      <w:pPr>
        <w:ind w:left="360"/>
      </w:pPr>
      <w:r>
        <w:t>• Incomplete documentation and potential handling issues with seized GBL bottle.</w:t>
      </w:r>
    </w:p>
    <w:p w14:paraId="79AC544C" w14:textId="69FF5936" w:rsidR="00A65EF4" w:rsidRDefault="00000000">
      <w:pPr>
        <w:ind w:left="360"/>
      </w:pPr>
      <w:r>
        <w:rPr>
          <w:b/>
        </w:rPr>
        <w:t>Legal Basis:</w:t>
      </w:r>
      <w:r>
        <w:t xml:space="preserve"> NZBORA s 21.</w:t>
      </w:r>
    </w:p>
    <w:p w14:paraId="632AE3D7" w14:textId="34B24C76" w:rsidR="00CE1BCE" w:rsidRDefault="00A65EF4">
      <w:pPr>
        <w:pStyle w:val="Heading1"/>
      </w:pPr>
      <w:r>
        <w:t>8. CROSS-EXAMINATION PRIORITIES</w:t>
      </w:r>
    </w:p>
    <w:p w14:paraId="7F738F3C" w14:textId="77777777" w:rsidR="00CE1BCE" w:rsidRDefault="00000000">
      <w:r>
        <w:t>Constable Taylor Ashby (Police Officer)</w:t>
      </w:r>
    </w:p>
    <w:p w14:paraId="0F4AF2BA" w14:textId="77777777" w:rsidR="00CE1BCE" w:rsidRDefault="00000000">
      <w:pPr>
        <w:ind w:left="360"/>
      </w:pPr>
      <w:r>
        <w:t>• Did you offer a formal warning to the defendant before he declined to sign the notebook entry?</w:t>
      </w:r>
    </w:p>
    <w:p w14:paraId="494E7BD9" w14:textId="77777777" w:rsidR="00CE1BCE" w:rsidRDefault="00000000">
      <w:pPr>
        <w:ind w:left="360"/>
      </w:pPr>
      <w:r>
        <w:t>• Why did the defendant decline to sign the notebook entry detailing his admission?</w:t>
      </w:r>
    </w:p>
    <w:p w14:paraId="62F20919" w14:textId="77777777" w:rsidR="00CE1BCE" w:rsidRDefault="00000000">
      <w:pPr>
        <w:ind w:left="360"/>
      </w:pPr>
      <w:r>
        <w:t>• What steps were taken to ensure proper documentation of seized items?</w:t>
      </w:r>
    </w:p>
    <w:p w14:paraId="7A53F90B" w14:textId="77777777" w:rsidR="00CE1BCE" w:rsidRDefault="00000000">
      <w:pPr>
        <w:ind w:left="360"/>
      </w:pPr>
      <w:r>
        <w:rPr>
          <w:b/>
        </w:rPr>
        <w:t>Witness:</w:t>
      </w:r>
      <w:r>
        <w:t xml:space="preserve"> Sergeant Tod Lawrence KIRKER (Searching Officer)</w:t>
      </w:r>
    </w:p>
    <w:p w14:paraId="02860998" w14:textId="77777777" w:rsidR="00CE1BCE" w:rsidRDefault="00000000">
      <w:pPr>
        <w:ind w:left="360"/>
      </w:pPr>
      <w:r>
        <w:t>• How was the warrantless search power properly invoked under S 18(2)?</w:t>
      </w:r>
    </w:p>
    <w:p w14:paraId="6B2AC397" w14:textId="77777777" w:rsidR="00CE1BCE" w:rsidRDefault="00000000">
      <w:pPr>
        <w:ind w:left="360"/>
      </w:pPr>
      <w:r>
        <w:t>• Did you offer any inducements or formal warnings during interactions with the defendant?</w:t>
      </w:r>
    </w:p>
    <w:p w14:paraId="629E5A9D" w14:textId="77777777" w:rsidR="00CE1BCE" w:rsidRDefault="00000000">
      <w:pPr>
        <w:ind w:left="360"/>
      </w:pPr>
      <w:r>
        <w:t>• Why did the defendant decline to sign the notebook entry detailing his admission?</w:t>
      </w:r>
    </w:p>
    <w:p w14:paraId="70071305" w14:textId="22E752A0" w:rsidR="00CE1BCE" w:rsidRDefault="00A65EF4">
      <w:pPr>
        <w:pStyle w:val="Heading1"/>
      </w:pPr>
      <w:r>
        <w:t>9. DISCLOSURE AND FORENSIC GAPS</w:t>
      </w:r>
    </w:p>
    <w:p w14:paraId="5A71ACC9" w14:textId="77777777" w:rsidR="00CE1BCE" w:rsidRPr="00F91A39" w:rsidRDefault="00000000">
      <w:pPr>
        <w:rPr>
          <w:b/>
          <w:bCs/>
        </w:rPr>
      </w:pPr>
      <w:r w:rsidRPr="00F91A39">
        <w:rPr>
          <w:b/>
          <w:bCs/>
        </w:rPr>
        <w:t>1. Chain-of-custody and handling records for seized exhibits</w:t>
      </w:r>
    </w:p>
    <w:p w14:paraId="55FE9287" w14:textId="77777777" w:rsidR="00CE1BCE" w:rsidRDefault="00000000">
      <w:pPr>
        <w:ind w:left="360"/>
      </w:pPr>
      <w:r>
        <w:t>Ensures proper handling and documentation of seized items.</w:t>
      </w:r>
    </w:p>
    <w:p w14:paraId="22483A62" w14:textId="77777777" w:rsidR="00CE1BCE" w:rsidRDefault="00000000">
      <w:pPr>
        <w:ind w:left="360"/>
      </w:pPr>
      <w:r>
        <w:t>• Request/Application: Formal request for complete chain-of-custody documentation.</w:t>
      </w:r>
    </w:p>
    <w:p w14:paraId="47F48650" w14:textId="77777777" w:rsidR="00CE1BCE" w:rsidRPr="00F91A39" w:rsidRDefault="00000000">
      <w:pPr>
        <w:rPr>
          <w:b/>
          <w:bCs/>
        </w:rPr>
      </w:pPr>
      <w:r w:rsidRPr="00F91A39">
        <w:rPr>
          <w:b/>
          <w:bCs/>
        </w:rPr>
        <w:t>2. Body-worn camera footage of the search</w:t>
      </w:r>
    </w:p>
    <w:p w14:paraId="0AD17432" w14:textId="77777777" w:rsidR="00CE1BCE" w:rsidRDefault="00000000">
      <w:pPr>
        <w:ind w:left="360"/>
      </w:pPr>
      <w:r>
        <w:t>• Why it Matters: Provides visual evidence of interactions and procedures during searches.</w:t>
      </w:r>
    </w:p>
    <w:p w14:paraId="2063606F" w14:textId="77777777" w:rsidR="00CE1BCE" w:rsidRDefault="00000000">
      <w:pPr>
        <w:ind w:left="360"/>
      </w:pPr>
      <w:r>
        <w:t>• Request/Application: Application to obtain body-worn camera footage from police officers involved in the search.</w:t>
      </w:r>
    </w:p>
    <w:p w14:paraId="1F7733A1" w14:textId="77777777" w:rsidR="00CE1BCE" w:rsidRPr="00F91A39" w:rsidRDefault="00000000">
      <w:pPr>
        <w:rPr>
          <w:b/>
          <w:bCs/>
        </w:rPr>
      </w:pPr>
      <w:r w:rsidRPr="00F91A39">
        <w:rPr>
          <w:b/>
          <w:bCs/>
        </w:rPr>
        <w:t>3. Documentation of inducements offered to the defendant</w:t>
      </w:r>
    </w:p>
    <w:p w14:paraId="3B046EE5" w14:textId="77777777" w:rsidR="00CE1BCE" w:rsidRDefault="00000000">
      <w:pPr>
        <w:ind w:left="360"/>
      </w:pPr>
      <w:r>
        <w:t>• Why it Matters: Establishes whether any formal warnings or other inducements were offered.</w:t>
      </w:r>
    </w:p>
    <w:p w14:paraId="341F2501" w14:textId="77777777" w:rsidR="00CE1BCE" w:rsidRDefault="00000000">
      <w:pPr>
        <w:ind w:left="360"/>
      </w:pPr>
      <w:r>
        <w:t>• Request/Application: Formal request for documentation of inducements and interactions with the defendant.</w:t>
      </w:r>
    </w:p>
    <w:p w14:paraId="29DB5ABA" w14:textId="77777777" w:rsidR="00CE1BCE" w:rsidRPr="00F91A39" w:rsidRDefault="00000000">
      <w:pPr>
        <w:rPr>
          <w:b/>
          <w:bCs/>
        </w:rPr>
      </w:pPr>
      <w:r w:rsidRPr="00F91A39">
        <w:rPr>
          <w:b/>
          <w:bCs/>
        </w:rPr>
        <w:t>4. Forensic testing protocols used at Customs</w:t>
      </w:r>
    </w:p>
    <w:p w14:paraId="5F34505C" w14:textId="77777777" w:rsidR="00CE1BCE" w:rsidRDefault="00000000">
      <w:pPr>
        <w:ind w:left="360"/>
      </w:pPr>
      <w:r>
        <w:t>• Why it Matters: Ensures proper procedures were followed during forensic analysis.</w:t>
      </w:r>
    </w:p>
    <w:p w14:paraId="74FBBB80" w14:textId="77777777" w:rsidR="00CE1BCE" w:rsidRDefault="00000000">
      <w:pPr>
        <w:ind w:left="360"/>
      </w:pPr>
      <w:r>
        <w:t>• Request/Application: Application to obtain detailed forensic testing protocols from PHF Science.</w:t>
      </w:r>
    </w:p>
    <w:p w14:paraId="785514C8" w14:textId="4BA0A351" w:rsidR="00CE1BCE" w:rsidRDefault="00000000">
      <w:pPr>
        <w:pStyle w:val="Heading1"/>
      </w:pPr>
      <w:r>
        <w:t>10. INSTRUCTIONS TO COUNSEL PRE-TRIAL</w:t>
      </w:r>
    </w:p>
    <w:p w14:paraId="730B4373" w14:textId="77777777" w:rsidR="00CE1BCE" w:rsidRDefault="00000000">
      <w:r>
        <w:t>1. Prepare a formal request for complete chain-of-custody documentation.</w:t>
      </w:r>
    </w:p>
    <w:p w14:paraId="12278A4B" w14:textId="77777777" w:rsidR="00CE1BCE" w:rsidRDefault="00000000">
      <w:r>
        <w:t xml:space="preserve">2. </w:t>
      </w:r>
      <w:proofErr w:type="gramStart"/>
      <w:r>
        <w:t>Submit an application</w:t>
      </w:r>
      <w:proofErr w:type="gramEnd"/>
      <w:r>
        <w:t xml:space="preserve"> to obtain body-worn camera footage of the search.</w:t>
      </w:r>
    </w:p>
    <w:p w14:paraId="11F107EF" w14:textId="77777777" w:rsidR="00CE1BCE" w:rsidRDefault="00000000">
      <w:r>
        <w:t>3. Document interactions and inducements offered during police interviews.</w:t>
      </w:r>
    </w:p>
    <w:p w14:paraId="66CA2780" w14:textId="77777777" w:rsidR="00CE1BCE" w:rsidRDefault="00000000">
      <w:r>
        <w:t>4. Review forensic testing protocols used at Customs.</w:t>
      </w:r>
    </w:p>
    <w:p w14:paraId="745A44DF" w14:textId="77777777" w:rsidR="00CE1BCE" w:rsidRDefault="00000000">
      <w:r>
        <w:t>5. Challenge any alleged admission based on voluntariness and inducement issues.</w:t>
      </w:r>
    </w:p>
    <w:p w14:paraId="46110404" w14:textId="77777777" w:rsidR="00CE1BCE" w:rsidRDefault="00000000">
      <w:r>
        <w:t>6. Raise reasonable doubt about actual knowledge through cross-examination.</w:t>
      </w:r>
    </w:p>
    <w:p w14:paraId="15D3E19A" w14:textId="3F9761B8" w:rsidR="00CE1BCE" w:rsidRDefault="00000000">
      <w:pPr>
        <w:pStyle w:val="Heading1"/>
      </w:pPr>
      <w:r>
        <w:t>11. EVIDENTIARY ISSUES TO RAISE</w:t>
      </w:r>
    </w:p>
    <w:p w14:paraId="7C8283BE" w14:textId="77777777" w:rsidR="00CE1BCE" w:rsidRPr="00F91A39" w:rsidRDefault="00000000">
      <w:pPr>
        <w:rPr>
          <w:b/>
          <w:bCs/>
        </w:rPr>
      </w:pPr>
      <w:r w:rsidRPr="00F91A39">
        <w:rPr>
          <w:b/>
          <w:bCs/>
        </w:rPr>
        <w:t>1. Reliability and voluntariness of any alleged admission</w:t>
      </w:r>
    </w:p>
    <w:p w14:paraId="36051612" w14:textId="77777777" w:rsidR="00CE1BCE" w:rsidRDefault="00000000">
      <w:pPr>
        <w:ind w:left="360"/>
      </w:pPr>
      <w:r>
        <w:rPr>
          <w:b/>
        </w:rPr>
        <w:t>Legal Basis:</w:t>
      </w:r>
      <w:r>
        <w:t xml:space="preserve"> NZBORA s 24(1)(d).</w:t>
      </w:r>
    </w:p>
    <w:p w14:paraId="7C2C88BA" w14:textId="77777777" w:rsidR="00CE1BCE" w:rsidRPr="00F91A39" w:rsidRDefault="00000000">
      <w:pPr>
        <w:rPr>
          <w:b/>
          <w:bCs/>
        </w:rPr>
      </w:pPr>
      <w:r w:rsidRPr="00F91A39">
        <w:rPr>
          <w:b/>
          <w:bCs/>
        </w:rPr>
        <w:t>2. Proper invocation of warrantless search power</w:t>
      </w:r>
    </w:p>
    <w:p w14:paraId="53863FC1" w14:textId="77777777" w:rsidR="00CE1BCE" w:rsidRDefault="00000000">
      <w:pPr>
        <w:ind w:left="360"/>
      </w:pPr>
      <w:r>
        <w:rPr>
          <w:b/>
        </w:rPr>
        <w:t>Legal Basis:</w:t>
      </w:r>
      <w:r>
        <w:t xml:space="preserve"> Search and Surveillance Act 2012 S 18(2).</w:t>
      </w:r>
    </w:p>
    <w:p w14:paraId="6048B670" w14:textId="77777777" w:rsidR="00CE1BCE" w:rsidRPr="00F91A39" w:rsidRDefault="00000000">
      <w:pPr>
        <w:rPr>
          <w:b/>
          <w:bCs/>
        </w:rPr>
      </w:pPr>
      <w:r w:rsidRPr="00F91A39">
        <w:rPr>
          <w:b/>
          <w:bCs/>
        </w:rPr>
        <w:t>3. Incomplete chain-of-custody documentation</w:t>
      </w:r>
    </w:p>
    <w:p w14:paraId="608BD308" w14:textId="77777777" w:rsidR="00CE1BCE" w:rsidRDefault="00000000">
      <w:pPr>
        <w:ind w:left="360"/>
      </w:pPr>
      <w:r>
        <w:rPr>
          <w:b/>
        </w:rPr>
        <w:t>Legal Basis:</w:t>
      </w:r>
      <w:r>
        <w:t xml:space="preserve"> NZBORA s 21.</w:t>
      </w:r>
    </w:p>
    <w:p w14:paraId="6F2BCCC5" w14:textId="090E67F9" w:rsidR="00CE1BCE" w:rsidRDefault="00000000">
      <w:pPr>
        <w:pStyle w:val="Heading1"/>
      </w:pPr>
      <w:r>
        <w:t>12. CONCLUSION</w:t>
      </w:r>
    </w:p>
    <w:p w14:paraId="7E5B8CDC" w14:textId="77777777" w:rsidR="00CE1BCE" w:rsidRDefault="00000000">
      <w:r>
        <w:t>The prosecution's case is weak due to significant gaps in evidence, including issues with the alleged admission, chain-of-custody, and actual knowledge of the substance being a controlled drug. The defence has strong prospects for raising reasonable doubt or excluding unreliable evidence. The most important next step is to challenge any disputed admissions and request complete documentation.</w:t>
      </w:r>
    </w:p>
    <w:p w14:paraId="1937D853" w14:textId="77777777" w:rsidR="00CE1BCE" w:rsidRDefault="00CE1BCE"/>
    <w:p w14:paraId="0E729A22" w14:textId="77777777" w:rsidR="00CE1BCE" w:rsidRDefault="00000000">
      <w:pPr>
        <w:jc w:val="center"/>
      </w:pPr>
      <w:r>
        <w:rPr>
          <w:i/>
          <w:color w:val="808080"/>
          <w:sz w:val="18"/>
        </w:rPr>
        <w:t>This report was generated by an AI system based on provided data and legal sources. It does not constitute legal advice and should be reviewed by a qualified attorney familiar with the case details.</w:t>
      </w:r>
    </w:p>
    <w:sectPr w:rsidR="00CE1BC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6FB9" w14:textId="77777777" w:rsidR="006969C4" w:rsidRDefault="006969C4">
      <w:pPr>
        <w:spacing w:after="0" w:line="240" w:lineRule="auto"/>
      </w:pPr>
      <w:r>
        <w:separator/>
      </w:r>
    </w:p>
  </w:endnote>
  <w:endnote w:type="continuationSeparator" w:id="0">
    <w:p w14:paraId="7FC80AC0" w14:textId="77777777" w:rsidR="006969C4" w:rsidRDefault="0069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9280" w14:textId="77777777" w:rsidR="000E1E22" w:rsidRDefault="000E1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009"/>
      <w:gridCol w:w="3009"/>
      <w:gridCol w:w="3009"/>
    </w:tblGrid>
    <w:tr w:rsidR="00CE1BCE" w14:paraId="00BA1D58" w14:textId="77777777">
      <w:tc>
        <w:tcPr>
          <w:tcW w:w="3009" w:type="dxa"/>
        </w:tcPr>
        <w:p w14:paraId="5DFB59F4" w14:textId="77777777" w:rsidR="00CE1BCE" w:rsidRDefault="00000000">
          <w:r>
            <w:rPr>
              <w:color w:val="666666"/>
              <w:sz w:val="18"/>
            </w:rPr>
            <w:t>Confidential Defence Analysis</w:t>
          </w:r>
        </w:p>
      </w:tc>
      <w:tc>
        <w:tcPr>
          <w:tcW w:w="3009" w:type="dxa"/>
        </w:tcPr>
        <w:p w14:paraId="0EB6BF8F" w14:textId="77777777" w:rsidR="00CE1BCE" w:rsidRDefault="00000000">
          <w:pPr>
            <w:jc w:val="center"/>
          </w:pPr>
          <w:r>
            <w:rPr>
              <w:color w:val="666666"/>
              <w:sz w:val="18"/>
            </w:rPr>
            <w:t>Prepared: 28 June 2026</w:t>
          </w:r>
        </w:p>
      </w:tc>
      <w:tc>
        <w:tcPr>
          <w:tcW w:w="3009" w:type="dxa"/>
        </w:tcPr>
        <w:p w14:paraId="13DF833B" w14:textId="77777777" w:rsidR="00CE1BCE" w:rsidRDefault="00000000">
          <w:pPr>
            <w:jc w:val="right"/>
          </w:pPr>
          <w:r>
            <w:rPr>
              <w:color w:val="666666"/>
              <w:sz w:val="18"/>
            </w:rPr>
            <w:t xml:space="preserve">Page </w:t>
          </w:r>
          <w:r>
            <w:rPr>
              <w:color w:val="666666"/>
              <w:sz w:val="18"/>
            </w:rPr>
            <w:fldChar w:fldCharType="begin"/>
          </w:r>
          <w:r>
            <w:rPr>
              <w:color w:val="666666"/>
              <w:sz w:val="18"/>
            </w:rPr>
            <w:instrText>PAGE \* MERGEFORMAT</w:instrText>
          </w:r>
          <w:r>
            <w:rPr>
              <w:color w:val="666666"/>
              <w:sz w:val="18"/>
            </w:rPr>
            <w:fldChar w:fldCharType="separate"/>
          </w:r>
          <w:r w:rsidR="00747F4E">
            <w:rPr>
              <w:noProof/>
              <w:color w:val="666666"/>
              <w:sz w:val="18"/>
            </w:rPr>
            <w:t>1</w:t>
          </w:r>
          <w:r>
            <w:rPr>
              <w:color w:val="666666"/>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1780" w14:textId="77777777" w:rsidR="000E1E22" w:rsidRDefault="000E1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325B1" w14:textId="77777777" w:rsidR="006969C4" w:rsidRDefault="006969C4">
      <w:pPr>
        <w:spacing w:after="0" w:line="240" w:lineRule="auto"/>
      </w:pPr>
      <w:r>
        <w:separator/>
      </w:r>
    </w:p>
  </w:footnote>
  <w:footnote w:type="continuationSeparator" w:id="0">
    <w:p w14:paraId="7E1BF937" w14:textId="77777777" w:rsidR="006969C4" w:rsidRDefault="00696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FEC1" w14:textId="77777777" w:rsidR="000E1E22" w:rsidRDefault="000E1E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970F" w14:textId="77777777" w:rsidR="00CE1BCE" w:rsidRDefault="00000000">
    <w:pPr>
      <w:spacing w:after="40"/>
      <w:jc w:val="center"/>
    </w:pPr>
    <w:r>
      <w:rPr>
        <w:b/>
        <w:color w:val="2C3E50"/>
        <w:sz w:val="36"/>
      </w:rPr>
      <w:t>⚖️ AEGIS ⚖️</w:t>
    </w:r>
  </w:p>
  <w:p w14:paraId="5FA9ECEF" w14:textId="77777777" w:rsidR="00CE1BCE" w:rsidRDefault="00000000">
    <w:pPr>
      <w:pBdr>
        <w:bottom w:val="single" w:sz="48" w:space="1" w:color="2C3E50"/>
      </w:pBdr>
      <w:spacing w:after="80"/>
      <w:jc w:val="center"/>
    </w:pPr>
    <w:r>
      <w:rPr>
        <w:color w:val="666666"/>
        <w:sz w:val="16"/>
      </w:rPr>
      <w:t>NZ's Legal Adviser · Secure Legal Research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F67C" w14:textId="77777777" w:rsidR="000E1E22" w:rsidRDefault="000E1E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E3"/>
    <w:rsid w:val="000E1E22"/>
    <w:rsid w:val="000E2F7E"/>
    <w:rsid w:val="00200A8E"/>
    <w:rsid w:val="0026179D"/>
    <w:rsid w:val="002B1053"/>
    <w:rsid w:val="00333A24"/>
    <w:rsid w:val="003C4715"/>
    <w:rsid w:val="005015E3"/>
    <w:rsid w:val="00560B6E"/>
    <w:rsid w:val="006969C4"/>
    <w:rsid w:val="006F7C0E"/>
    <w:rsid w:val="007208F0"/>
    <w:rsid w:val="00747F4E"/>
    <w:rsid w:val="0080051C"/>
    <w:rsid w:val="00A067D0"/>
    <w:rsid w:val="00A65EF4"/>
    <w:rsid w:val="00A9230C"/>
    <w:rsid w:val="00C821E4"/>
    <w:rsid w:val="00C920B8"/>
    <w:rsid w:val="00CE1BCE"/>
    <w:rsid w:val="00E35BAF"/>
    <w:rsid w:val="00E4456D"/>
    <w:rsid w:val="00E53930"/>
    <w:rsid w:val="00F91A3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2DF6"/>
  <w15:docId w15:val="{9104A5CF-4979-47B9-A6E0-9FE3591B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Calibri" w:eastAsia="Times New Roman" w:hAnsi="Calibri"/>
      <w:color w:val="1D1D1F"/>
    </w:rPr>
  </w:style>
  <w:style w:type="paragraph" w:styleId="Heading1">
    <w:name w:val="heading 1"/>
    <w:basedOn w:val="Normal"/>
    <w:uiPriority w:val="9"/>
    <w:qFormat/>
    <w:pPr>
      <w:keepNext/>
      <w:keepLines/>
      <w:pBdr>
        <w:bottom w:val="single" w:sz="8" w:space="8" w:color="1B2A3A"/>
      </w:pBdr>
      <w:spacing w:before="480" w:after="240"/>
      <w:outlineLvl w:val="0"/>
    </w:pPr>
    <w:rPr>
      <w:b/>
      <w:color w:val="1B2A3A"/>
      <w:sz w:val="36"/>
    </w:rPr>
  </w:style>
  <w:style w:type="paragraph" w:styleId="Heading2">
    <w:name w:val="heading 2"/>
    <w:basedOn w:val="Normal"/>
    <w:uiPriority w:val="9"/>
    <w:unhideWhenUsed/>
    <w:qFormat/>
    <w:pPr>
      <w:keepNext/>
      <w:keepLines/>
      <w:spacing w:before="360" w:after="180"/>
      <w:outlineLvl w:val="1"/>
    </w:pPr>
    <w:rPr>
      <w:b/>
      <w:color w:val="1B2A3A"/>
      <w:sz w:val="28"/>
    </w:rPr>
  </w:style>
  <w:style w:type="paragraph" w:styleId="Heading3">
    <w:name w:val="heading 3"/>
    <w:basedOn w:val="Normal"/>
    <w:uiPriority w:val="9"/>
    <w:semiHidden/>
    <w:unhideWhenUsed/>
    <w:qFormat/>
    <w:pPr>
      <w:keepNext/>
      <w:keepLines/>
      <w:spacing w:before="280"/>
      <w:outlineLvl w:val="2"/>
    </w:pPr>
    <w:rPr>
      <w:b/>
      <w:i/>
      <w:color w:val="1B2A3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1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E22"/>
    <w:rPr>
      <w:rFonts w:ascii="Cambria" w:eastAsia="Times New Roman" w:hAnsi="Cambria"/>
      <w:color w:val="2D2D2D"/>
    </w:rPr>
  </w:style>
  <w:style w:type="paragraph" w:styleId="Footer">
    <w:name w:val="footer"/>
    <w:basedOn w:val="Normal"/>
    <w:link w:val="FooterChar"/>
    <w:uiPriority w:val="99"/>
    <w:unhideWhenUsed/>
    <w:rsid w:val="000E1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E22"/>
    <w:rPr>
      <w:rFonts w:ascii="Cambria" w:eastAsia="Times New Roman" w:hAnsi="Cambria"/>
      <w:color w:val="2D2D2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gab\Downloads\defence_analy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defence_analysis.dotx</Template>
  <TotalTime>16</TotalTime>
  <Pages>11</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Patchett</dc:creator>
  <cp:lastModifiedBy>Mega Byte</cp:lastModifiedBy>
  <cp:revision>3</cp:revision>
  <dcterms:created xsi:type="dcterms:W3CDTF">2026-06-28T14:06:00Z</dcterms:created>
  <dcterms:modified xsi:type="dcterms:W3CDTF">2026-06-29T02:19:00Z</dcterms:modified>
</cp:coreProperties>
</file>