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" w:line="240" w:lineRule="auto"/>
      </w:pPr>
      <w:r>
        <w:rPr>
          <w:rFonts w:ascii="Microsoft YaHei" w:hAnsi="Microsoft YaHei" w:eastAsia="Microsoft YaHei" w:cs="Microsoft YaHei"/>
          <w:b w:val="0"/>
          <w:i w:val="0"/>
          <w:color w:val="16324F"/>
          <w:sz w:val="48"/>
        </w:rPr>
        <w:t>财经视频事件推理链数据集</w:t>
        <w:br/>
        <w:t>阶段成果汇报</w:t>
      </w:r>
    </w:p>
    <w:p>
      <w:pPr>
        <w:pStyle w:val="Subtitle"/>
        <w:spacing w:before="0" w:after="160" w:line="252" w:lineRule="auto"/>
      </w:pPr>
      <w:r>
        <w:rPr>
          <w:rFonts w:ascii="Microsoft YaHei" w:hAnsi="Microsoft YaHei" w:eastAsia="Microsoft YaHei" w:cs="Microsoft YaHei"/>
          <w:b w:val="0"/>
          <w:i w:val="0"/>
          <w:color w:val="5B6573"/>
          <w:sz w:val="21"/>
        </w:rPr>
        <w:t>汇报口径：基于已归档视频/图文材料与外部证据的正式研究数据及 QA 访问接口；暂不包含 SFT 训练内容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C7D9EB"/>
          <w:left w:val="single" w:sz="4" w:color="C7D9EB"/>
          <w:bottom w:val="single" w:sz="4" w:color="C7D9EB"/>
          <w:right w:val="single" w:sz="4" w:color="C7D9EB"/>
          <w:insideH w:val="single" w:sz="4" w:color="C7D9EB"/>
          <w:insideV w:val="single" w:sz="4" w:color="C7D9EB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AF2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6324F"/>
                <w:sz w:val="20"/>
              </w:rPr>
              <w:t xml:space="preserve">核心结论  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20"/>
              </w:rPr>
              <w:t>项目已完成 10 个独立事件案例的 V3 正式研究数据建设，形成可审计的事实传导链、作者推理链和外部核验链，并提供 90 条规范 QA 与 50 条连续追问路径。QA 不作为孤立题库，而是用户访问案例事实图谱、理解推理过程和核验证据边界的接口。</w:t>
            </w:r>
          </w:p>
        </w:tc>
      </w:tr>
    </w:tbl>
    <w:p>
      <w:pPr>
        <w:pStyle w:val="Heading1"/>
        <w:spacing w:before="200" w:after="80" w:line="240" w:lineRule="auto"/>
        <w:keepNext/>
      </w:pPr>
      <w:r>
        <w:rPr>
          <w:rFonts w:ascii="Microsoft YaHei" w:hAnsi="Microsoft YaHei" w:eastAsia="Microsoft YaHei" w:cs="Microsoft YaHei"/>
          <w:b/>
          <w:i w:val="0"/>
          <w:color w:val="2E74B5"/>
          <w:sz w:val="30"/>
        </w:rPr>
        <w:t>一、完成成果与当前状态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1900"/>
        <w:gridCol w:w="1260"/>
        <w:gridCol w:w="1700"/>
        <w:gridCol w:w="4500"/>
      </w:tblGrid>
      <w:tr>
        <w:trPr>
          <w:tblHeader w:val="true"/>
        </w:trPr>
        <w:tc>
          <w:tcPr>
            <w:tcW w:type="dxa" w:w="1900"/>
            <w:tcMar>
              <w:top w:w="86" w:type="dxa"/>
              <w:start w:w="120" w:type="dxa"/>
              <w:bottom w:w="86" w:type="dxa"/>
              <w:end w:w="12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6324F"/>
                <w:sz w:val="18"/>
              </w:rPr>
              <w:t>成果项</w:t>
            </w:r>
          </w:p>
        </w:tc>
        <w:tc>
          <w:tcPr>
            <w:tcW w:type="dxa" w:w="1260"/>
            <w:tcMar>
              <w:top w:w="86" w:type="dxa"/>
              <w:start w:w="120" w:type="dxa"/>
              <w:bottom w:w="86" w:type="dxa"/>
              <w:end w:w="12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6324F"/>
                <w:sz w:val="18"/>
              </w:rPr>
              <w:t>规模</w:t>
            </w:r>
          </w:p>
        </w:tc>
        <w:tc>
          <w:tcPr>
            <w:tcW w:type="dxa" w:w="1700"/>
            <w:tcMar>
              <w:top w:w="86" w:type="dxa"/>
              <w:start w:w="120" w:type="dxa"/>
              <w:bottom w:w="86" w:type="dxa"/>
              <w:end w:w="12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6324F"/>
                <w:sz w:val="18"/>
              </w:rPr>
              <w:t>状态</w:t>
            </w:r>
          </w:p>
        </w:tc>
        <w:tc>
          <w:tcPr>
            <w:tcW w:type="dxa" w:w="4500"/>
            <w:tcMar>
              <w:top w:w="86" w:type="dxa"/>
              <w:start w:w="120" w:type="dxa"/>
              <w:bottom w:w="86" w:type="dxa"/>
              <w:end w:w="12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6324F"/>
                <w:sz w:val="18"/>
              </w:rPr>
              <w:t>管理含义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正式事件案例包</w:t>
            </w:r>
          </w:p>
        </w:tc>
        <w:tc>
          <w:tcPr>
            <w:tcW w:type="dxa" w:w="1260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10 个</w:t>
            </w:r>
          </w:p>
        </w:tc>
        <w:tc>
          <w:tcPr>
            <w:tcW w:type="dxa" w:w="1700"/>
            <w:shd w:fill="E8F3EC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6B45"/>
                <w:sz w:val="17"/>
              </w:rPr>
              <w:t>正式版完成</w:t>
            </w:r>
          </w:p>
        </w:tc>
        <w:tc>
          <w:tcPr>
            <w:tcW w:type="dxa" w:w="450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每案覆盖起点、机制、转折、结果与必要核验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可审计推理链</w:t>
            </w:r>
          </w:p>
        </w:tc>
        <w:tc>
          <w:tcPr>
            <w:tcW w:type="dxa" w:w="1260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30 条</w:t>
            </w:r>
          </w:p>
        </w:tc>
        <w:tc>
          <w:tcPr>
            <w:tcW w:type="dxa" w:w="1700"/>
            <w:shd w:fill="E8F3EC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6B45"/>
                <w:sz w:val="17"/>
              </w:rPr>
              <w:t>完成</w:t>
            </w:r>
          </w:p>
        </w:tc>
        <w:tc>
          <w:tcPr>
            <w:tcW w:type="dxa" w:w="450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每案三链：事实传导、作者推理、外部核验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规范 QA</w:t>
            </w:r>
          </w:p>
        </w:tc>
        <w:tc>
          <w:tcPr>
            <w:tcW w:type="dxa" w:w="1260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90 条</w:t>
            </w:r>
          </w:p>
        </w:tc>
        <w:tc>
          <w:tcPr>
            <w:tcW w:type="dxa" w:w="1700"/>
            <w:shd w:fill="E8F3EC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6B45"/>
                <w:sz w:val="17"/>
              </w:rPr>
              <w:t>完成</w:t>
            </w:r>
          </w:p>
        </w:tc>
        <w:tc>
          <w:tcPr>
            <w:tcW w:type="dxa" w:w="450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每案 9 条，均绑定局部完整链与证据定位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用户追问图 / 对话路径</w:t>
            </w:r>
          </w:p>
        </w:tc>
        <w:tc>
          <w:tcPr>
            <w:tcW w:type="dxa" w:w="1260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10 / 50</w:t>
            </w:r>
          </w:p>
        </w:tc>
        <w:tc>
          <w:tcPr>
            <w:tcW w:type="dxa" w:w="1700"/>
            <w:shd w:fill="E8F3EC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6B45"/>
                <w:sz w:val="17"/>
              </w:rPr>
              <w:t>完成</w:t>
            </w:r>
          </w:p>
        </w:tc>
        <w:tc>
          <w:tcPr>
            <w:tcW w:type="dxa" w:w="450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支持 2-6 轮连续追问，覆盖真实使用入口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用户需求信号</w:t>
            </w:r>
          </w:p>
        </w:tc>
        <w:tc>
          <w:tcPr>
            <w:tcW w:type="dxa" w:w="1260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90 条</w:t>
            </w:r>
          </w:p>
        </w:tc>
        <w:tc>
          <w:tcPr>
            <w:tcW w:type="dxa" w:w="1700"/>
            <w:shd w:fill="E8F3EC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6B45"/>
                <w:sz w:val="17"/>
              </w:rPr>
              <w:t>完成</w:t>
            </w:r>
          </w:p>
        </w:tc>
        <w:tc>
          <w:tcPr>
            <w:tcW w:type="dxa" w:w="450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问题按真实用户意图聚类，并映射到可审计事实链</w:t>
            </w:r>
          </w:p>
        </w:tc>
      </w:tr>
    </w:tbl>
    <w:p>
      <w:pPr>
        <w:spacing w:before="40" w:after="40" w:line="240" w:lineRule="auto"/>
      </w:pPr>
      <w:r>
        <w:rPr>
          <w:rFonts w:ascii="Microsoft YaHei" w:hAnsi="Microsoft YaHei" w:eastAsia="Microsoft YaHei" w:cs="Microsoft YaHei"/>
          <w:b w:val="0"/>
          <w:i/>
          <w:color w:val="5B6573"/>
          <w:sz w:val="17"/>
        </w:rPr>
        <w:t>覆盖案例包含徐翔、原野实业、小米、万科、娃哈哈及已恢复的粮食、日本、保健品等独立事件；同一事件不跨评测切分。</w:t>
      </w:r>
    </w:p>
    <w:p>
      <w:pPr>
        <w:pStyle w:val="Heading1"/>
        <w:spacing w:before="200" w:after="80" w:line="240" w:lineRule="auto"/>
        <w:keepNext/>
      </w:pPr>
      <w:r>
        <w:rPr>
          <w:rFonts w:ascii="Microsoft YaHei" w:hAnsi="Microsoft YaHei" w:eastAsia="Microsoft YaHei" w:cs="Microsoft YaHei"/>
          <w:b/>
          <w:i w:val="0"/>
          <w:color w:val="2E74B5"/>
          <w:sz w:val="30"/>
        </w:rPr>
        <w:t>二、已经形成的研究数据链路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C7D9EB"/>
          <w:left w:val="single" w:sz="4" w:color="C7D9EB"/>
          <w:bottom w:val="single" w:sz="4" w:color="C7D9EB"/>
          <w:right w:val="single" w:sz="4" w:color="C7D9EB"/>
          <w:insideH w:val="single" w:sz="4" w:color="C7D9EB"/>
          <w:insideV w:val="single" w:sz="4" w:color="C7D9EB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F3F7FB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6324F"/>
                <w:sz w:val="20"/>
              </w:rPr>
              <w:t xml:space="preserve">统一数据结构  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20"/>
              </w:rPr>
              <w:t>事件材料与外部来源 → 可定位事实主张 → 关系与推理步骤 → 支持状态/证据链接 → 用户问题、回答与引用。所有步骤保留输入引用、输出引用和支持状态，不保存模型自由式思维过程。</w:t>
            </w:r>
          </w:p>
        </w:tc>
      </w:tr>
    </w:tbl>
    <w:p>
      <w:pPr>
        <w:pStyle w:val="ListBullet"/>
        <w:spacing w:before="0" w:after="40" w:line="250" w:lineRule="auto"/>
        <w:ind w:left="374" w:hanging="230"/>
        <w:keepLines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19"/>
        </w:rPr>
        <w:t>事实传导链：事实发生 → 作用机制 → 后续事件 → 最终结果；用于说明事件如何演进，严格保留时序与主体边界。</w:t>
      </w:r>
    </w:p>
    <w:p>
      <w:pPr>
        <w:pStyle w:val="ListBullet"/>
        <w:spacing w:before="0" w:after="40" w:line="250" w:lineRule="auto"/>
        <w:ind w:left="374" w:hanging="230"/>
        <w:keepLines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19"/>
        </w:rPr>
        <w:t>作者推理链：作者前提 → 中间判断 → 隐含假设 → 作者结论；用于忠实复现作者如何得出结论，不等同于现实因果成立。</w:t>
      </w:r>
    </w:p>
    <w:p>
      <w:pPr>
        <w:pStyle w:val="ListBullet"/>
        <w:spacing w:before="0" w:after="40" w:line="250" w:lineRule="auto"/>
        <w:ind w:left="374" w:hanging="230"/>
        <w:keepLines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19"/>
        </w:rPr>
        <w:t>外部核验链：外部证据 → 支持范围 → 证据缺口/冲突 → 现实可成立结论；用于把作者观点与可证实事实分开。</w:t>
      </w:r>
    </w:p>
    <w:p>
      <w:pPr>
        <w:pStyle w:val="ListBullet"/>
        <w:spacing w:before="0" w:after="40" w:line="250" w:lineRule="auto"/>
        <w:ind w:left="374" w:hanging="230"/>
        <w:keepLines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19"/>
        </w:rPr>
        <w:t>QA 访问接口：问题按 understand、explain、verify、impact、evaluate、compare 六类用户意图组织；每个问题同时有连续对话问法与可独立使用的标准问法。</w:t>
      </w:r>
    </w:p>
    <w:p>
      <w:pPr>
        <w:pStyle w:val="Heading1"/>
        <w:spacing w:before="200" w:after="80" w:line="240" w:lineRule="auto"/>
        <w:keepNext/>
      </w:pPr>
      <w:r>
        <w:rPr>
          <w:rFonts w:ascii="Microsoft YaHei" w:hAnsi="Microsoft YaHei" w:eastAsia="Microsoft YaHei" w:cs="Microsoft YaHei"/>
          <w:b/>
          <w:i w:val="0"/>
          <w:color w:val="2E74B5"/>
          <w:sz w:val="30"/>
        </w:rPr>
        <w:t>三、质量控制与证据边界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2300"/>
        <w:gridCol w:w="2200"/>
        <w:gridCol w:w="4860"/>
      </w:tblGrid>
      <w:tr>
        <w:trPr>
          <w:tblHeader w:val="true"/>
        </w:trPr>
        <w:tc>
          <w:tcPr>
            <w:tcW w:type="dxa" w:w="2300"/>
            <w:tcMar>
              <w:top w:w="86" w:type="dxa"/>
              <w:start w:w="120" w:type="dxa"/>
              <w:bottom w:w="86" w:type="dxa"/>
              <w:end w:w="12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6324F"/>
                <w:sz w:val="18"/>
              </w:rPr>
              <w:t>检查项</w:t>
            </w:r>
          </w:p>
        </w:tc>
        <w:tc>
          <w:tcPr>
            <w:tcW w:type="dxa" w:w="2200"/>
            <w:tcMar>
              <w:top w:w="86" w:type="dxa"/>
              <w:start w:w="120" w:type="dxa"/>
              <w:bottom w:w="86" w:type="dxa"/>
              <w:end w:w="12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6324F"/>
                <w:sz w:val="18"/>
              </w:rPr>
              <w:t>结果</w:t>
            </w:r>
          </w:p>
        </w:tc>
        <w:tc>
          <w:tcPr>
            <w:tcW w:type="dxa" w:w="4860"/>
            <w:tcMar>
              <w:top w:w="86" w:type="dxa"/>
              <w:start w:w="120" w:type="dxa"/>
              <w:bottom w:w="86" w:type="dxa"/>
              <w:end w:w="12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6324F"/>
                <w:sz w:val="18"/>
              </w:rPr>
              <w:t>说明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正式 QA 可回答性</w:t>
            </w:r>
          </w:p>
        </w:tc>
        <w:tc>
          <w:tcPr>
            <w:tcW w:type="dxa" w:w="220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90 / 90 answerable</w:t>
            </w:r>
          </w:p>
        </w:tc>
        <w:tc>
          <w:tcPr>
            <w:tcW w:type="dxa" w:w="486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回答同时说明可支持范围与不确定性，避免将观点直接写成事实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链条完整性</w:t>
            </w:r>
          </w:p>
        </w:tc>
        <w:tc>
          <w:tcPr>
            <w:tcW w:type="dxa" w:w="220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90 / 90 complete</w:t>
            </w:r>
          </w:p>
        </w:tc>
        <w:tc>
          <w:tcPr>
            <w:tcW w:type="dxa" w:w="486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目标结论可回溯至必要中间步骤和引用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正式 CLI 校验</w:t>
            </w:r>
          </w:p>
        </w:tc>
        <w:tc>
          <w:tcPr>
            <w:tcW w:type="dxa" w:w="2200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valid: true</w:t>
            </w:r>
          </w:p>
        </w:tc>
        <w:tc>
          <w:tcPr>
            <w:tcW w:type="dxa" w:w="486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ID 引用、链路连续性、枚举与发布配置通过校验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可重复构建</w:t>
            </w:r>
          </w:p>
        </w:tc>
        <w:tc>
          <w:tcPr>
            <w:tcW w:type="dxa" w:w="2200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哈希一致</w:t>
            </w:r>
          </w:p>
        </w:tc>
        <w:tc>
          <w:tcPr>
            <w:tcW w:type="dxa" w:w="486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V3 正式文件固定种子重建保持字节一致；V2 原始策展数据未被覆盖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外部核验边界</w:t>
            </w:r>
          </w:p>
        </w:tc>
        <w:tc>
          <w:tcPr>
            <w:tcW w:type="dxa" w:w="2200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保留未知/未支持</w:t>
            </w:r>
          </w:p>
        </w:tc>
        <w:tc>
          <w:tcPr>
            <w:tcW w:type="dxa" w:w="486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没有直接反证时不标 contradicted；保健品赞助等命题仍保持 unknown</w:t>
            </w:r>
          </w:p>
        </w:tc>
      </w:tr>
    </w:tbl>
    <w:p>
      <w:pPr>
        <w:spacing w:before="40" w:after="40" w:line="240" w:lineRule="auto"/>
      </w:pPr>
      <w:r>
        <w:rPr>
          <w:rFonts w:ascii="Microsoft YaHei" w:hAnsi="Microsoft YaHei" w:eastAsia="Microsoft YaHei" w:cs="Microsoft YaHei"/>
          <w:b w:val="0"/>
          <w:i/>
          <w:color w:val="5B6573"/>
          <w:sz w:val="17"/>
        </w:rPr>
        <w:t>已完成的“可回答”表示能对证据边界作出完整答复，不表示问题中涉及的全部现实因果均已被外部证实。</w:t>
      </w:r>
    </w:p>
    <w:p>
      <w:pPr>
        <w:pStyle w:val="Heading1"/>
        <w:spacing w:before="200" w:after="80" w:line="240" w:lineRule="auto"/>
        <w:keepNext/>
      </w:pPr>
      <w:r>
        <w:rPr>
          <w:rFonts w:ascii="Microsoft YaHei" w:hAnsi="Microsoft YaHei" w:eastAsia="Microsoft YaHei" w:cs="Microsoft YaHei"/>
          <w:b/>
          <w:i w:val="0"/>
          <w:color w:val="2E74B5"/>
          <w:sz w:val="30"/>
        </w:rPr>
        <w:t>四、QA 问答设计的核心思考</w:t>
      </w:r>
    </w:p>
    <w:p>
      <w:pPr>
        <w:pStyle w:val="ListBullet"/>
        <w:spacing w:before="0" w:after="40" w:line="250" w:lineRule="auto"/>
        <w:ind w:left="374" w:hanging="230"/>
        <w:keepLines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19"/>
        </w:rPr>
        <w:t>问题不是从固定题型或数量配额反推，而是从用户第一次了解、原因追问、真实性质疑、现实影响和评价比较等需求出发，再由事实链约束答案。</w:t>
      </w:r>
    </w:p>
    <w:p>
      <w:pPr>
        <w:pStyle w:val="ListBullet"/>
        <w:spacing w:before="0" w:after="40" w:line="250" w:lineRule="auto"/>
        <w:ind w:left="374" w:hanging="230"/>
        <w:keepLines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19"/>
        </w:rPr>
        <w:t>每个重要问题内部同时绑定事实传导链、作者推理链和外部核验链；单轮回答包含完整局部链，整条对话路径累计覆盖事件起点、机制、转折、结果、影响和必要核验。</w:t>
      </w:r>
    </w:p>
    <w:p>
      <w:pPr>
        <w:pStyle w:val="ListBullet"/>
        <w:spacing w:before="0" w:after="40" w:line="250" w:lineRule="auto"/>
        <w:ind w:left="374" w:hanging="230"/>
        <w:keepLines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19"/>
        </w:rPr>
        <w:t>连续对话问题与可独立使用的标准问题共用同一 QA ID、答案、推理链和证据，既支持 2-6 轮自然追问，也支持单题检索、评测和复核。</w:t>
      </w:r>
    </w:p>
    <w:p>
      <w:pPr>
        <w:pStyle w:val="ListBullet"/>
        <w:spacing w:before="0" w:after="40" w:line="250" w:lineRule="auto"/>
        <w:ind w:left="374" w:hanging="230"/>
        <w:keepLines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19"/>
        </w:rPr>
        <w:t>用户可见答案由直接回答、解释链、外部核验、不确定性说明和来源引用构成；数据内部保留 source/context/evidence-link 定位，便于逐步审计。</w:t>
      </w:r>
    </w:p>
    <w:p>
      <w:pPr>
        <w:pStyle w:val="ListBullet"/>
        <w:spacing w:before="0" w:after="40" w:line="250" w:lineRule="auto"/>
        <w:ind w:left="374" w:hanging="230"/>
        <w:keepLines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19"/>
        </w:rPr>
        <w:t>“可回答”表示可以完整说明证据支持到哪里；作者推理忠实不代表现实因果成立。高需求但证据不足的问题必须部分回答或拒答，没有直接反证时不得标为 contradicted。</w:t>
      </w:r>
    </w:p>
    <w:p>
      <w:pPr>
        <w:pStyle w:val="ListBullet"/>
        <w:spacing w:before="0" w:after="40" w:line="250" w:lineRule="auto"/>
        <w:ind w:left="374" w:hanging="230"/>
        <w:keepLines/>
      </w:pPr>
      <w:r>
        <w:rPr>
          <w:rFonts w:ascii="Microsoft YaHei" w:hAnsi="Microsoft YaHei" w:eastAsia="Microsoft YaHei" w:cs="Microsoft YaHei"/>
          <w:b w:val="0"/>
          <w:i w:val="0"/>
          <w:color w:val="1F2937"/>
          <w:sz w:val="19"/>
        </w:rPr>
        <w:t>人物、日期、金额等基础抽取只作为理解入口，不大量单独制题；重点保留机制解释、多跳链重建、证据边界、替代解释、前提充分性和结论强度等高价值问题。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C7D9EB"/>
          <w:left w:val="single" w:sz="4" w:color="C7D9EB"/>
          <w:bottom w:val="single" w:sz="4" w:color="C7D9EB"/>
          <w:right w:val="single" w:sz="4" w:color="C7D9EB"/>
          <w:insideH w:val="single" w:sz="4" w:color="C7D9EB"/>
          <w:insideV w:val="single" w:sz="4" w:color="C7D9EB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AF2F8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6324F"/>
                <w:sz w:val="20"/>
              </w:rPr>
              <w:t xml:space="preserve">建议对外汇报口径  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20"/>
              </w:rPr>
              <w:t>财经视频事件推理链的正式研究数据与 QA 访问层已完成，已形成 10 个事件案例、三类可审计链、90 条高价值 QA 和 50 条连续追问路径。QA 的价值不在题目数量，而在于能从真实用户问题进入事实图谱，重建推理链，并明确现实证据支持到哪里。</w:t>
            </w:r>
          </w:p>
        </w:tc>
      </w:tr>
    </w:tbl>
    <w:p>
      <w:pPr>
        <w:pStyle w:val="Heading1"/>
        <w:spacing w:before="200" w:after="80" w:line="240" w:lineRule="auto"/>
        <w:keepNext/>
      </w:pPr>
      <w:r>
        <w:rPr>
          <w:rFonts w:ascii="Microsoft YaHei" w:hAnsi="Microsoft YaHei" w:eastAsia="Microsoft YaHei" w:cs="Microsoft YaHei"/>
          <w:b/>
          <w:i w:val="0"/>
          <w:color w:val="2E74B5"/>
          <w:sz w:val="30"/>
        </w:rPr>
        <w:t>五、阶段交付物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2500"/>
        <w:gridCol w:w="4680"/>
        <w:gridCol w:w="2180"/>
      </w:tblGrid>
      <w:tr>
        <w:trPr>
          <w:tblHeader w:val="true"/>
        </w:trPr>
        <w:tc>
          <w:tcPr>
            <w:tcW w:type="dxa" w:w="2500"/>
            <w:tcMar>
              <w:top w:w="86" w:type="dxa"/>
              <w:start w:w="120" w:type="dxa"/>
              <w:bottom w:w="86" w:type="dxa"/>
              <w:end w:w="12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6324F"/>
                <w:sz w:val="18"/>
              </w:rPr>
              <w:t>用途</w:t>
            </w:r>
          </w:p>
        </w:tc>
        <w:tc>
          <w:tcPr>
            <w:tcW w:type="dxa" w:w="4680"/>
            <w:tcMar>
              <w:top w:w="86" w:type="dxa"/>
              <w:start w:w="120" w:type="dxa"/>
              <w:bottom w:w="86" w:type="dxa"/>
              <w:end w:w="12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6324F"/>
                <w:sz w:val="18"/>
              </w:rPr>
              <w:t>主要内容</w:t>
            </w:r>
          </w:p>
        </w:tc>
        <w:tc>
          <w:tcPr>
            <w:tcW w:type="dxa" w:w="2180"/>
            <w:tcMar>
              <w:top w:w="86" w:type="dxa"/>
              <w:start w:w="120" w:type="dxa"/>
              <w:bottom w:w="86" w:type="dxa"/>
              <w:end w:w="12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6324F"/>
                <w:sz w:val="18"/>
              </w:rPr>
              <w:t>当前状态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V3 正式案例数据</w:t>
            </w:r>
          </w:p>
        </w:tc>
        <w:tc>
          <w:tcPr>
            <w:tcW w:type="dxa" w:w="468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案例规格、来源、上下文、证据链接、审核记录与三类推理链</w:t>
            </w:r>
          </w:p>
        </w:tc>
        <w:tc>
          <w:tcPr>
            <w:tcW w:type="dxa" w:w="2180"/>
            <w:shd w:fill="E8F3EC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6B45"/>
                <w:sz w:val="17"/>
              </w:rPr>
              <w:t>完成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V3 QA 访问层</w:t>
            </w:r>
          </w:p>
        </w:tc>
        <w:tc>
          <w:tcPr>
            <w:tcW w:type="dxa" w:w="468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90 条问题与标准答案、10 个追问图、50 条连续对话路径</w:t>
            </w:r>
          </w:p>
        </w:tc>
        <w:tc>
          <w:tcPr>
            <w:tcW w:type="dxa" w:w="2180"/>
            <w:shd w:fill="E8F3EC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6B45"/>
                <w:sz w:val="17"/>
              </w:rPr>
              <w:t>完成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质量与复现材料</w:t>
            </w:r>
          </w:p>
        </w:tc>
        <w:tc>
          <w:tcPr>
            <w:tcW w:type="dxa" w:w="4680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F2937"/>
                <w:sz w:val="17"/>
              </w:rPr>
              <w:t>发布配置、校验结果、数据卡与固定种子构建规则</w:t>
            </w:r>
          </w:p>
        </w:tc>
        <w:tc>
          <w:tcPr>
            <w:tcW w:type="dxa" w:w="2180"/>
            <w:shd w:fill="E8F3EC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6B45"/>
                <w:sz w:val="17"/>
              </w:rPr>
              <w:t>完成</w:t>
            </w:r>
          </w:p>
        </w:tc>
      </w:tr>
    </w:tbl>
    <w:p>
      <w:pPr>
        <w:spacing w:before="40" w:after="40" w:line="240" w:lineRule="auto"/>
      </w:pPr>
      <w:r>
        <w:rPr>
          <w:rFonts w:ascii="Microsoft YaHei" w:hAnsi="Microsoft YaHei" w:eastAsia="Microsoft YaHei" w:cs="Microsoft YaHei"/>
          <w:b w:val="0"/>
          <w:i/>
          <w:color w:val="5B6573"/>
          <w:sz w:val="17"/>
        </w:rPr>
        <w:t>正式展示目录按用途分离：`data/cases/v3` 保存事件案例与证据，`data/qa/v3` 保存用户问题、答案和追问路径；`data/curation/v3` 是构建与审核底稿，不作为主要展示入口。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icrosoft YaHei" w:hAnsi="Microsoft YaHei" w:eastAsia="Microsoft YaHei" w:cs="Microsoft YaHei"/>
        <w:b w:val="0"/>
        <w:i w:val="0"/>
        <w:color w:val="6B7280"/>
        <w:sz w:val="16"/>
      </w:rPr>
      <w:t>内部阶段材料 | 截至 2026-08-12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Microsoft YaHei" w:hAnsi="Microsoft YaHei" w:eastAsia="Microsoft YaHei" w:cs="Microsoft YaHei"/>
        <w:b w:val="0"/>
        <w:i w:val="0"/>
        <w:color w:val="6B7280"/>
        <w:sz w:val="16"/>
      </w:rPr>
      <w:t>FinGoose 财经事件研究数据 | 阶段成果汇报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B6573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财经视频事件推理链数据集阶段成果汇报</dc:title>
  <dc:subject>截至 2026-08-12 的阶段成果与训练数据转换进展</dc:subject>
  <dc:creator>FinGoose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