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宏观事件研究候选数据集</w:t>
        <w:br/>
        <w:t>阶段成果汇报</w:t>
      </w:r>
    </w:p>
    <w:p>
      <w:pPr>
        <w:pStyle w:val="Subtitle"/>
      </w:pPr>
      <w:r>
        <w:t>汇报口径：已有完成内容汇总，不包含新增实时研究或未来行情更新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核心结论  </w:t>
            </w:r>
            <w:r>
              <w:rPr>
                <w:rFonts w:ascii="Microsoft YaHei" w:hAnsi="Microsoft YaHei" w:eastAsia="Microsoft YaHei"/>
                <w:sz w:val="20"/>
              </w:rPr>
              <w:t>已完成 10 个代表性宏观事件、157 条候选样本的统一建设，覆盖事件事实、时间线、传导机制、行业与公司影响、事件关联问答，以及 T-1、D1、D3、D5、D20、M3 行情验证。当前成果为可审计、可离线复现的候选研究数据，尚未解除人工审核边界。</w:t>
            </w:r>
          </w:p>
        </w:tc>
      </w:tr>
    </w:tbl>
    <w:p>
      <w:pPr>
        <w:spacing w:after="0"/>
      </w:pPr>
    </w:p>
    <w:p>
      <w:pPr>
        <w:pStyle w:val="Heading1"/>
      </w:pPr>
      <w:r>
        <w:t>一、完成成果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1152"/>
        <w:gridCol w:w="5976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成果项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数量</w:t>
            </w:r>
          </w:p>
        </w:tc>
        <w:tc>
          <w:tcPr>
            <w:tcW w:type="dxa" w:w="597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宏观母事件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每个事件形成统一事件包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候选样本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157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事件、行业、公司和问答四类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事件里程碑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21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包含前置条件、初始冲击及后续节点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行业影响分析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77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每个事件覆盖 7-9 个行业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公司影响分析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30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每个事件 3 家事前业务暴露公司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事件关联问答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每个事件 4 类问答，不脱离母事件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核心行情窗口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每个事件 4 个价值锚定物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推理链</w:t>
            </w:r>
          </w:p>
        </w:tc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157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闭环状态 157/157；开放链 0</w:t>
            </w:r>
          </w:p>
        </w:tc>
      </w:tr>
    </w:tbl>
    <w:p>
      <w:pPr>
        <w:spacing w:after="0"/>
      </w:pPr>
    </w:p>
    <w:p>
      <w:pPr>
        <w:pStyle w:val="Heading1"/>
      </w:pPr>
      <w:r>
        <w:t>二、已经形成的研究链路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统一结构  </w:t>
            </w:r>
            <w:r>
              <w:rPr>
                <w:rFonts w:ascii="Microsoft YaHei" w:hAnsi="Microsoft YaHei" w:eastAsia="Microsoft YaHei"/>
                <w:sz w:val="20"/>
              </w:rPr>
              <w:t>宏观母事件 → 事件时间线与衍生节点 → 官方事实与证据 → 传导渠道 → 行业影响 → 公司影响 → 事前方向判断 → D1/D3/D5/D20/M3 事后行情验证 → 偏差解释、反证与因果边界</w:t>
            </w:r>
          </w:p>
        </w:tc>
      </w:tr>
    </w:tbl>
    <w:p>
      <w:pPr>
        <w:spacing w:after="0"/>
      </w:pP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事实层：保留事件发生时间、首次公开时间、来源、原文定位、快照和证据状态。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推理层：区分来源事实与研究推断，并形成即时、短期、中期三类不同阶段判断。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产业层：按事件关联行业和公司组织经营变量、财务变量、估值影响、条件与反证。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验证层：保留 T-1 基准及 D1、D3、D5、D20、M3 实际行情，不以缺失值补零。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因果层：行情仅用于验证窗口表现或机制一致性；当前 30 条公司因果状态均为 NOT_IDENTIFIED。</w:t>
      </w:r>
    </w:p>
    <w:p>
      <w:pPr>
        <w:pStyle w:val="Heading1"/>
      </w:pPr>
      <w:r>
        <w:t>三、十个事件覆盖范围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792"/>
        <w:gridCol w:w="2376"/>
        <w:gridCol w:w="605"/>
        <w:gridCol w:w="605"/>
        <w:gridCol w:w="605"/>
        <w:gridCol w:w="605"/>
        <w:gridCol w:w="3772"/>
      </w:tblGrid>
      <w:tr>
        <w:trPr>
          <w:tblHeader w:val="true"/>
        </w:trPr>
        <w:tc>
          <w:tcPr>
            <w:tcW w:type="dxa" w:w="79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事件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名称</w:t>
            </w:r>
          </w:p>
        </w:tc>
        <w:tc>
          <w:tcPr>
            <w:tcW w:type="dxa" w:w="605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节点</w:t>
            </w:r>
          </w:p>
        </w:tc>
        <w:tc>
          <w:tcPr>
            <w:tcW w:type="dxa" w:w="605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行业</w:t>
            </w:r>
          </w:p>
        </w:tc>
        <w:tc>
          <w:tcPr>
            <w:tcW w:type="dxa" w:w="605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公司</w:t>
            </w:r>
          </w:p>
        </w:tc>
        <w:tc>
          <w:tcPr>
            <w:tcW w:type="dxa" w:w="605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问答</w:t>
            </w:r>
          </w:p>
        </w:tc>
        <w:tc>
          <w:tcPr>
            <w:tcW w:type="dxa" w:w="377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价值锚定物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event-01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WHO 将新冠疫情定性为全球大流行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标普500、VIX波动率指数、WTI原油、美元兑人民币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event-02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俄乌冲突全面升级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布伦特原油、VIX波动率指数、标普500、美元兑人民币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event-03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美联储开启加息周期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美国10年期国债收益率、标普500、美元广义指数、美元兑人民币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event-04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中国防疫政策转向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标普500、WTI原油、VIX波动率指数、美元兑人民币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event-05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硅谷银行倒闭与银行业冲击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VIX波动率指数、美国10年期国债收益率、标普500、美元兑人民币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event-06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OPEC+ 意外减产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布伦特原油、WTI原油、标普500、美元兑人民币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event-07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红海航运危机升级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布伦特原油、VIX波动率指数、标普500、美元兑人民币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event-08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日本央行结束负利率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美元兑日元、美国10年期国债收益率、标普500、美元兑人民币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event-09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中国一揽子金融支持政策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美元兑人民币、标普500、美国10年期国债收益率、美元广义指数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event-10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美国对等关税政策公布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37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标普500、美国10年期国债收益率、美元广义指数、美元兑人民币</w:t>
            </w:r>
          </w:p>
        </w:tc>
      </w:tr>
    </w:tbl>
    <w:p>
      <w:pPr>
        <w:spacing w:after="0"/>
      </w:pPr>
    </w:p>
    <w:p>
      <w:pPr>
        <w:pStyle w:val="Heading1"/>
      </w:pPr>
      <w:r>
        <w:t>四、代表案例：OPEC+ 意外减产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研究结论  </w:t>
            </w:r>
            <w:r>
              <w:rPr>
                <w:rFonts w:ascii="Microsoft YaHei" w:hAnsi="Microsoft YaHei" w:eastAsia="Microsoft YaHei"/>
                <w:sz w:val="20"/>
              </w:rPr>
              <w:t>事件时的供给收缩机制指向原油即时与短期偏强。事后布伦特原油相对 T-1 的实际变化为：D1 8.36%、D3 8.46%、D5 10.27%、D20 -7.93%、M3 -5.91%。短窗口与供给冲击机制一致，但 D20 和 M3 转弱，说明需求、库存及其他市场因素随后占据主导。</w:t>
            </w:r>
          </w:p>
        </w:tc>
      </w:tr>
    </w:tbl>
    <w:p>
      <w:pPr>
        <w:spacing w:after="0"/>
      </w:pP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预测层：站在事件锚点，以当时可见信息判断方向、期限、成立条件与失效条件。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验证层：用后续实际行情检验预测期限与机制一致性，并解释偏差。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边界层：该结果不能单独证明 OPEC+ 减产造成全部价格变化。</w:t>
      </w:r>
    </w:p>
    <w:p>
      <w:pPr>
        <w:pStyle w:val="Heading1"/>
      </w:pPr>
      <w:r>
        <w:t>五、质量验证与复现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5112"/>
        <w:gridCol w:w="2016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检查项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结果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数据验证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 errors / 0 warnings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占位符检查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未发现占位样本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完整阶段分析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157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157/157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闭环状态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157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开放链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离线双轮复现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四个黄金产物 SHA256 一致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stable=true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离线边界</w:t>
            </w:r>
          </w:p>
        </w:tc>
        <w:tc>
          <w:tcPr>
            <w:tcW w:type="dxa" w:w="51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未联网、未重新生成研究文字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network_accessed=false</w:t>
            </w:r>
          </w:p>
        </w:tc>
      </w:tr>
    </w:tbl>
    <w:p>
      <w:pPr>
        <w:spacing w:after="0"/>
      </w:pPr>
    </w:p>
    <w:p>
      <w:pPr>
        <w:pStyle w:val="Heading1"/>
      </w:pPr>
      <w:r>
        <w:t>六、当前定位与后续边界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c>
          <w:tcPr>
            <w:tcW w:type="dxa" w:w="9360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建议汇报口径  </w:t>
            </w:r>
            <w:r>
              <w:rPr>
                <w:rFonts w:ascii="Microsoft YaHei" w:hAnsi="Microsoft YaHei" w:eastAsia="Microsoft YaHei"/>
                <w:sz w:val="20"/>
              </w:rPr>
              <w:t>已完成十个宏观事件从事实、推理、行业公司传导到 D20/M3 行情验证的候选数据建设；当前进入人工研究审核和正式准入阶段。</w:t>
            </w:r>
          </w:p>
        </w:tc>
      </w:tr>
    </w:tbl>
    <w:p>
      <w:pPr>
        <w:spacing w:after="0"/>
      </w:pP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当前所有候选继续保持 NEEDS_HUMAN_REVIEW 和 formal_ready=false。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机器闭环表示字段、证据引用和推理路径完整，不等同于人工研究结论已经签字确认。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未执行真实 GPU/QLoRA 训练；现有文件是训练候选数据，不应表述为已完成模型训练。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</w:rPr>
        <w:t>行情一致性不是宏观事件因果证明；非 IDENTIFIED 状态必须保持 ABSTAIN。</w:t>
      </w:r>
    </w:p>
    <w:p>
      <w:pPr>
        <w:pStyle w:val="Heading1"/>
      </w:pPr>
      <w:r>
        <w:t>七、交付文件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3672"/>
        <w:gridCol w:w="1224"/>
        <w:gridCol w:w="2376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用途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文件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大小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SHA256（前16位）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全量统一主数据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candidate_master_data.jsonl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23.33 MB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D90D2E31A61B0CB0...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训练候选数据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candidate_sft_dataset.jsonl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17.22 MB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BDBAAF3277FEE0FD...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数据拆分清单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split_manifest.json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 MB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72DD3FEF088EB2FF...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机器验证报告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validation_report.json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 MB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E6E4A43D472C953E...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离线复现报告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reproducibility_report.json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0.00 MB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C137A2A21B7A7392...</w:t>
            </w:r>
          </w:p>
        </w:tc>
      </w:tr>
    </w:tbl>
    <w:p>
      <w:pPr>
        <w:spacing w:after="0"/>
      </w:pPr>
    </w:p>
    <w:p>
      <w:r>
        <w:t>注：详细的十事件、公司、行业、行情窗口与文件路径见配套 Excel 汇总表。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内部阶段材料 | 截至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6"/>
      </w:rPr>
      <w:t>FinGoose 宏观事件研究数据 | 阶段成果汇报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B65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