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6"/>
          <w:szCs w:val="36"/>
        </w:rPr>
        <w:t xml:space="preserve">HIPAA Privacy Manual</w:t>
      </w:r>
    </w:p>
    <w:p>
      <w:pPr>
        <w:pBdr>
          <w:bottom w:val="single" w:color="1F3864" w:sz="12"/>
        </w:pBdr>
        <w:spacing w:after="200"/>
      </w:pPr>
      <w:r>
        <w:rPr>
          <w:rFonts w:ascii="Calibri" w:cs="Calibri" w:eastAsia="Calibri" w:hAnsi="Calibri"/>
          <w:color w:val="2E5C8A"/>
          <w:sz w:val="28"/>
          <w:szCs w:val="28"/>
        </w:rPr>
        <w:t xml:space="preserve">Practice-Specific Workflow Questionnaire</w:t>
      </w:r>
    </w:p>
    <w:p>
      <w:pPr>
        <w:spacing w:after="60" w:before="120" w:line="260"/>
      </w:pPr>
      <w:r>
        <w:rPr>
          <w:rFonts w:ascii="Calibri" w:cs="Calibri" w:eastAsia="Calibri" w:hAnsi="Calibri"/>
          <w:b/>
          <w:bCs/>
          <w:color w:val="1F3864"/>
          <w:sz w:val="24"/>
          <w:szCs w:val="24"/>
        </w:rPr>
        <w:t xml:space="preserve">Purpose</w:t>
      </w:r>
    </w:p>
    <w:p>
      <w:pPr>
        <w:spacing w:after="80" w:before="0" w:line="260"/>
      </w:pPr>
      <w:r>
        <w:rPr>
          <w:rFonts w:ascii="Calibri" w:cs="Calibri" w:eastAsia="Calibri" w:hAnsi="Calibri"/>
          <w:sz w:val="20"/>
          <w:szCs w:val="20"/>
        </w:rPr>
        <w:t xml:space="preserve">This questionnaire converts the HIPAA Privacy Manual template into a document that describes how your practice actually operates. Each question corresponds to one policy in the manual. Your answers are transferred into the "Practice Specific Workflow Description" section that follows that policy in the manual.</w:t>
      </w:r>
    </w:p>
    <w:p>
      <w:pPr>
        <w:spacing w:after="60" w:before="160" w:line="260"/>
      </w:pPr>
      <w:r>
        <w:rPr>
          <w:rFonts w:ascii="Calibri" w:cs="Calibri" w:eastAsia="Calibri" w:hAnsi="Calibri"/>
          <w:b/>
          <w:bCs/>
          <w:color w:val="1F3864"/>
          <w:sz w:val="24"/>
          <w:szCs w:val="24"/>
        </w:rPr>
        <w:t xml:space="preserve">How to complete it</w:t>
      </w:r>
    </w:p>
    <w:p>
      <w:pPr>
        <w:pStyle w:val="ListParagraph"/>
        <w:numPr>
          <w:ilvl w:val="0"/>
          <w:numId w:val="2"/>
        </w:numPr>
        <w:spacing w:after="60" w:line="260"/>
      </w:pPr>
      <w:r>
        <w:rPr>
          <w:rFonts w:ascii="Calibri" w:cs="Calibri" w:eastAsia="Calibri" w:hAnsi="Calibri"/>
          <w:sz w:val="20"/>
          <w:szCs w:val="20"/>
        </w:rPr>
        <w:t xml:space="preserve">Complete Section 1 first. This information appears throughout all of your manuals.</w:t>
      </w:r>
    </w:p>
    <w:p>
      <w:pPr>
        <w:pStyle w:val="ListParagraph"/>
        <w:numPr>
          <w:ilvl w:val="0"/>
          <w:numId w:val="2"/>
        </w:numPr>
        <w:spacing w:after="60" w:line="260"/>
      </w:pPr>
      <w:r>
        <w:rPr>
          <w:rFonts w:ascii="Calibri" w:cs="Calibri" w:eastAsia="Calibri" w:hAnsi="Calibri"/>
          <w:sz w:val="20"/>
          <w:szCs w:val="20"/>
        </w:rPr>
        <w:t xml:space="preserve">Answer every question in Section 2 in narrative form. Name real roles, real systems, real vendors, and real timeframes — not "as required by policy."</w:t>
      </w:r>
    </w:p>
    <w:p>
      <w:pPr>
        <w:pStyle w:val="ListParagraph"/>
        <w:numPr>
          <w:ilvl w:val="0"/>
          <w:numId w:val="2"/>
        </w:numPr>
        <w:spacing w:after="60" w:line="260"/>
      </w:pPr>
      <w:r>
        <w:rPr>
          <w:rFonts w:ascii="Calibri" w:cs="Calibri" w:eastAsia="Calibri" w:hAnsi="Calibri"/>
          <w:sz w:val="20"/>
          <w:szCs w:val="20"/>
        </w:rPr>
        <w:t xml:space="preserve">If a policy does not apply to your practice, write "Not applicable" and state why. Do not leave a response blank.</w:t>
      </w:r>
    </w:p>
    <w:p>
      <w:pPr>
        <w:pStyle w:val="ListParagraph"/>
        <w:numPr>
          <w:ilvl w:val="0"/>
          <w:numId w:val="2"/>
        </w:numPr>
        <w:spacing w:after="60" w:line="260"/>
      </w:pPr>
      <w:r>
        <w:rPr>
          <w:rFonts w:ascii="Calibri" w:cs="Calibri" w:eastAsia="Calibri" w:hAnsi="Calibri"/>
          <w:sz w:val="20"/>
          <w:szCs w:val="20"/>
        </w:rPr>
        <w:t xml:space="preserve">The page reference beside each question number points to that policy in the accompanying manual: HIPAA Privacy Manual - with Practice Workflow Questions.docx</w:t>
      </w:r>
    </w:p>
    <w:p>
      <w:pPr>
        <w:pStyle w:val="ListParagraph"/>
        <w:numPr>
          <w:ilvl w:val="0"/>
          <w:numId w:val="2"/>
        </w:numPr>
        <w:spacing w:after="60" w:line="260"/>
      </w:pPr>
      <w:r>
        <w:rPr>
          <w:rFonts w:ascii="Calibri" w:cs="Calibri" w:eastAsia="Calibri" w:hAnsi="Calibri"/>
          <w:sz w:val="20"/>
          <w:szCs w:val="20"/>
        </w:rPr>
        <w:t xml:space="preserve">Each question is also printed in the manual itself beneath the policy, with the same question number.</w:t>
      </w:r>
    </w:p>
    <w:p>
      <w:pPr>
        <w:spacing w:after="40" w:before="160" w:line="260"/>
      </w:pPr>
      <w:r>
        <w:rPr>
          <w:rFonts w:ascii="Calibri" w:cs="Calibri" w:eastAsia="Calibri" w:hAnsi="Calibri"/>
          <w:b/>
          <w:bCs/>
          <w:color w:val="2E5C8A"/>
          <w:sz w:val="20"/>
          <w:szCs w:val="20"/>
        </w:rPr>
        <w:t xml:space="preserve">Total questions in this manual: 38</w:t>
      </w:r>
    </w:p>
    <w:p>
      <w:r>
        <w:br w:type="page"/>
      </w:r>
    </w:p>
    <w:p>
      <w:pPr>
        <w:spacing w:after="80" w:before="0" w:line="260"/>
      </w:pPr>
      <w:r>
        <w:rPr>
          <w:rFonts w:ascii="Calibri" w:cs="Calibri" w:eastAsia="Calibri" w:hAnsi="Calibri"/>
          <w:b/>
          <w:bCs/>
          <w:color w:val="1F3864"/>
          <w:sz w:val="28"/>
          <w:szCs w:val="28"/>
        </w:rPr>
        <w:t xml:space="preserve">Section 1 — Practice Information</w:t>
      </w:r>
    </w:p>
    <w:p>
      <w:pPr>
        <w:spacing w:after="160" w:before="0" w:line="260"/>
      </w:pPr>
      <w:r>
        <w:rPr>
          <w:rFonts w:ascii="Calibri" w:cs="Calibri" w:eastAsia="Calibri" w:hAnsi="Calibri"/>
          <w:i/>
          <w:iCs/>
          <w:color w:val="595959"/>
          <w:sz w:val="20"/>
          <w:szCs w:val="20"/>
        </w:rPr>
        <w:t xml:space="preserve">Complete every row. If a role is filled by an outside firm or consultant, give the firm name and the individual contact.</w:t>
      </w:r>
    </w:p>
    <w:tbl>
      <w:tblPr>
        <w:tblW w:type="dxa" w:w="10080"/>
        <w:tblBorders>
          <w:top w:val="single" w:color="B4C6E7" w:sz="4"/>
          <w:left w:val="single" w:color="B4C6E7" w:sz="4"/>
          <w:bottom w:val="single" w:color="B4C6E7" w:sz="4"/>
          <w:right w:val="single" w:color="B4C6E7" w:sz="4"/>
          <w:insideH w:val="single" w:color="B4C6E7" w:sz="4"/>
          <w:insideV w:val="single" w:color="B4C6E7" w:sz="4"/>
        </w:tblBorders>
      </w:tblPr>
      <w:tblGrid>
        <w:gridCol w:w="4300"/>
        <w:gridCol w:w="2200"/>
        <w:gridCol w:w="1790"/>
        <w:gridCol w:w="1790"/>
      </w:tblGrid>
      <w:tr>
        <w:trPr>
          <w:tblHeader/>
        </w:trPr>
        <w:tc>
          <w:tcPr>
            <w:tcW w:type="dxa" w:w="4300"/>
            <w:shd w:fill="1F3864" w:color="auto" w:val="clear"/>
            <w:tcMar>
              <w:top w:type="dxa" w:w="80"/>
              <w:left w:type="dxa" w:w="120"/>
              <w:bottom w:type="dxa" w:w="80"/>
              <w:right w:type="dxa" w:w="120"/>
            </w:tcMar>
          </w:tcPr>
          <w:p>
            <w:pPr>
              <w:spacing w:after="0" w:before="0" w:line="260"/>
            </w:pPr>
            <w:r>
              <w:rPr>
                <w:rFonts w:ascii="Calibri" w:cs="Calibri" w:eastAsia="Calibri" w:hAnsi="Calibri"/>
                <w:b/>
                <w:bCs/>
                <w:color w:val="FFFFFF"/>
                <w:sz w:val="20"/>
                <w:szCs w:val="20"/>
              </w:rPr>
              <w:t xml:space="preserve">Required Information</w:t>
            </w:r>
          </w:p>
        </w:tc>
        <w:tc>
          <w:tcPr>
            <w:tcW w:type="dxa" w:w="2200"/>
            <w:shd w:fill="1F3864" w:color="auto" w:val="clear"/>
            <w:tcMar>
              <w:top w:type="dxa" w:w="80"/>
              <w:left w:type="dxa" w:w="120"/>
              <w:bottom w:type="dxa" w:w="80"/>
              <w:right w:type="dxa" w:w="120"/>
            </w:tcMar>
          </w:tcPr>
          <w:p>
            <w:pPr>
              <w:spacing w:after="0" w:before="0" w:line="260"/>
            </w:pPr>
            <w:r>
              <w:rPr>
                <w:rFonts w:ascii="Calibri" w:cs="Calibri" w:eastAsia="Calibri" w:hAnsi="Calibri"/>
                <w:b/>
                <w:bCs/>
                <w:color w:val="FFFFFF"/>
                <w:sz w:val="20"/>
                <w:szCs w:val="20"/>
              </w:rPr>
              <w:t xml:space="preserve">Name</w:t>
            </w:r>
          </w:p>
        </w:tc>
        <w:tc>
          <w:tcPr>
            <w:tcW w:type="dxa" w:w="1790"/>
            <w:shd w:fill="1F3864" w:color="auto" w:val="clear"/>
            <w:tcMar>
              <w:top w:type="dxa" w:w="80"/>
              <w:left w:type="dxa" w:w="120"/>
              <w:bottom w:type="dxa" w:w="80"/>
              <w:right w:type="dxa" w:w="120"/>
            </w:tcMar>
          </w:tcPr>
          <w:p>
            <w:pPr>
              <w:spacing w:after="0" w:before="0" w:line="260"/>
            </w:pPr>
            <w:r>
              <w:rPr>
                <w:rFonts w:ascii="Calibri" w:cs="Calibri" w:eastAsia="Calibri" w:hAnsi="Calibri"/>
                <w:b/>
                <w:bCs/>
                <w:color w:val="FFFFFF"/>
                <w:sz w:val="20"/>
                <w:szCs w:val="20"/>
              </w:rPr>
              <w:t xml:space="preserve">Telephone #</w:t>
            </w:r>
          </w:p>
        </w:tc>
        <w:tc>
          <w:tcPr>
            <w:tcW w:type="dxa" w:w="1790"/>
            <w:shd w:fill="1F3864" w:color="auto" w:val="clear"/>
            <w:tcMar>
              <w:top w:type="dxa" w:w="80"/>
              <w:left w:type="dxa" w:w="120"/>
              <w:bottom w:type="dxa" w:w="80"/>
              <w:right w:type="dxa" w:w="120"/>
            </w:tcMar>
          </w:tcPr>
          <w:p>
            <w:pPr>
              <w:spacing w:after="0" w:before="0" w:line="260"/>
            </w:pPr>
            <w:r>
              <w:rPr>
                <w:rFonts w:ascii="Calibri" w:cs="Calibri" w:eastAsia="Calibri" w:hAnsi="Calibri"/>
                <w:b/>
                <w:bCs/>
                <w:color w:val="FFFFFF"/>
                <w:sz w:val="20"/>
                <w:szCs w:val="20"/>
              </w:rPr>
              <w:t xml:space="preserve">Email</w:t>
            </w:r>
          </w:p>
        </w:tc>
      </w:tr>
      <w:tr>
        <w:tc>
          <w:tcPr>
            <w:tcW w:type="dxa" w:w="4300"/>
            <w:shd w:fill="FFFFFF"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Legal Practice Name (include DBA if applicable)</w:t>
            </w:r>
          </w:p>
        </w:tc>
        <w:tc>
          <w:tcPr>
            <w:tcW w:type="dxa" w:w="220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r>
      <w:tr>
        <w:tc>
          <w:tcPr>
            <w:tcW w:type="dxa" w:w="4300"/>
            <w:shd w:fill="F2F6FB"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Practice Address — legal address first; list each additional location separately</w:t>
            </w:r>
          </w:p>
        </w:tc>
        <w:tc>
          <w:tcPr>
            <w:tcW w:type="dxa" w:w="220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r>
      <w:tr>
        <w:tc>
          <w:tcPr>
            <w:tcW w:type="dxa" w:w="4300"/>
            <w:shd w:fill="FFFFFF"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HIPAA Privacy Officer</w:t>
            </w:r>
          </w:p>
        </w:tc>
        <w:tc>
          <w:tcPr>
            <w:tcW w:type="dxa" w:w="220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r>
      <w:tr>
        <w:tc>
          <w:tcPr>
            <w:tcW w:type="dxa" w:w="4300"/>
            <w:shd w:fill="F2F6FB"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HIPAA Security Officer</w:t>
            </w:r>
          </w:p>
        </w:tc>
        <w:tc>
          <w:tcPr>
            <w:tcW w:type="dxa" w:w="220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r>
      <w:tr>
        <w:tc>
          <w:tcPr>
            <w:tcW w:type="dxa" w:w="4300"/>
            <w:shd w:fill="FFFFFF"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Release of Information Officer</w:t>
            </w:r>
          </w:p>
        </w:tc>
        <w:tc>
          <w:tcPr>
            <w:tcW w:type="dxa" w:w="220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r>
      <w:tr>
        <w:tc>
          <w:tcPr>
            <w:tcW w:type="dxa" w:w="4300"/>
            <w:shd w:fill="F2F6FB"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IT Company / Vendor</w:t>
            </w:r>
          </w:p>
        </w:tc>
        <w:tc>
          <w:tcPr>
            <w:tcW w:type="dxa" w:w="220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r>
      <w:tr>
        <w:tc>
          <w:tcPr>
            <w:tcW w:type="dxa" w:w="4300"/>
            <w:shd w:fill="FFFFFF"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Compliance Officer</w:t>
            </w:r>
          </w:p>
        </w:tc>
        <w:tc>
          <w:tcPr>
            <w:tcW w:type="dxa" w:w="220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r>
      <w:tr>
        <w:tc>
          <w:tcPr>
            <w:tcW w:type="dxa" w:w="4300"/>
            <w:shd w:fill="F2F6FB"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Compliance Hotline number and/or email (note if using the EHCP hotline; number of posters needed — 2 per location recommended)</w:t>
            </w:r>
          </w:p>
        </w:tc>
        <w:tc>
          <w:tcPr>
            <w:tcW w:type="dxa" w:w="220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tc>
      </w:tr>
      <w:tr>
        <w:tc>
          <w:tcPr>
            <w:tcW w:type="dxa" w:w="4300"/>
            <w:shd w:fill="FFFFFF"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Compliance Committee Members (list all)</w:t>
            </w:r>
          </w:p>
        </w:tc>
        <w:tc>
          <w:tcPr>
            <w:tcW w:type="dxa" w:w="220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r>
      <w:tr>
        <w:tc>
          <w:tcPr>
            <w:tcW w:type="dxa" w:w="4300"/>
            <w:shd w:fill="F2F6FB"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Compliance Governing Board Members (list all)</w:t>
            </w:r>
          </w:p>
        </w:tc>
        <w:tc>
          <w:tcPr>
            <w:tcW w:type="dxa" w:w="220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r>
    </w:tbl>
    <w:p>
      <w:pPr>
        <w:spacing w:after="0" w:before="0" w:line="260"/>
      </w:pPr>
      <w:r>
        <w:rPr>
          <w:rFonts w:ascii="Calibri" w:cs="Calibri" w:eastAsia="Calibri" w:hAnsi="Calibri"/>
          <w:sz w:val="20"/>
          <w:szCs w:val="20"/>
        </w:rPr>
        <w:t xml:space="preserve"/>
      </w:r>
    </w:p>
    <w:p>
      <w:pPr>
        <w:spacing w:after="60" w:before="200" w:line="260"/>
      </w:pPr>
      <w:r>
        <w:rPr>
          <w:rFonts w:ascii="Calibri" w:cs="Calibri" w:eastAsia="Calibri" w:hAnsi="Calibri"/>
          <w:b/>
          <w:bCs/>
          <w:sz w:val="20"/>
          <w:szCs w:val="20"/>
        </w:rPr>
        <w:t xml:space="preserve">Additional locations, entities, or DBAs not listed above:</w:t>
      </w:r>
    </w:p>
    <w:p>
      <w:pPr>
        <w:spacing w:after="0" w:before="0" w:line="260"/>
      </w:pPr>
      <w:r>
        <w:rPr>
          <w:rFonts w:ascii="Calibri" w:cs="Calibri" w:eastAsia="Calibri" w:hAnsi="Calibri"/>
          <w:color w:val="595959"/>
          <w:sz w:val="20"/>
          <w:szCs w:val="20"/>
        </w:rPr>
        <w:t xml:space="preserve">Click or tap here to enter text.</w:t>
      </w:r>
    </w:p>
    <w:p>
      <w:r>
        <w:br w:type="page"/>
      </w:r>
    </w:p>
    <w:p>
      <w:pPr>
        <w:spacing w:after="80" w:before="0" w:line="260"/>
      </w:pPr>
      <w:r>
        <w:rPr>
          <w:rFonts w:ascii="Calibri" w:cs="Calibri" w:eastAsia="Calibri" w:hAnsi="Calibri"/>
          <w:b/>
          <w:bCs/>
          <w:color w:val="1F3864"/>
          <w:sz w:val="28"/>
          <w:szCs w:val="28"/>
        </w:rPr>
        <w:t xml:space="preserve">Section 2 — Policy Workflow Questions</w:t>
      </w:r>
    </w:p>
    <w:p>
      <w:pPr>
        <w:spacing w:after="80" w:before="0" w:line="260"/>
      </w:pPr>
      <w:r>
        <w:rPr>
          <w:rFonts w:ascii="Calibri" w:cs="Calibri" w:eastAsia="Calibri" w:hAnsi="Calibri"/>
          <w:i/>
          <w:iCs/>
          <w:color w:val="595959"/>
          <w:sz w:val="20"/>
          <w:szCs w:val="20"/>
        </w:rPr>
        <w:t xml:space="preserve">Answer each question below. Page references are to HIPAA Privacy Manual - with Practice Workflow Questions.docx.</w:t>
      </w:r>
    </w:p>
    <w:p>
      <w:pPr>
        <w:keepNext/>
        <w:pBdr>
          <w:bottom w:val="single" w:color="B4C6E7" w:sz="6"/>
        </w:pBdr>
        <w:spacing w:after="60" w:before="240"/>
      </w:pPr>
      <w:r>
        <w:rPr>
          <w:rFonts w:ascii="Calibri" w:cs="Calibri" w:eastAsia="Calibri" w:hAnsi="Calibri"/>
          <w:b/>
          <w:bCs/>
          <w:color w:val="1F3864"/>
          <w:sz w:val="22"/>
          <w:szCs w:val="22"/>
        </w:rPr>
        <w:t xml:space="preserve">PRV-01  </w:t>
      </w:r>
      <w:r>
        <w:rPr>
          <w:rFonts w:ascii="Calibri" w:cs="Calibri" w:eastAsia="Calibri" w:hAnsi="Calibri"/>
          <w:b/>
          <w:bCs/>
          <w:color w:val="1F3864"/>
          <w:sz w:val="22"/>
          <w:szCs w:val="22"/>
        </w:rPr>
        <w:t xml:space="preserve">Permitted Uses and Disclosures &amp; Required Disclosures</w:t>
      </w:r>
      <w:r>
        <w:rPr>
          <w:sz w:val="18"/>
          <w:szCs w:val="18"/>
        </w:rPr>
        <w:ptab w:alignment="right" w:relativeTo="margin" w:leader="dot"/>
      </w:r>
      <w:r>
        <w:rPr>
          <w:rFonts w:ascii="Calibri" w:cs="Calibri" w:eastAsia="Calibri" w:hAnsi="Calibri"/>
          <w:color w:val="2E5C8A"/>
          <w:sz w:val="18"/>
          <w:szCs w:val="18"/>
        </w:rPr>
        <w:t xml:space="preserve">Manual pp. 7–8</w:t>
      </w:r>
    </w:p>
    <w:p>
      <w:pPr>
        <w:spacing w:after="80" w:before="60" w:line="260"/>
      </w:pPr>
      <w:r>
        <w:rPr>
          <w:rFonts w:ascii="Calibri" w:cs="Calibri" w:eastAsia="Calibri" w:hAnsi="Calibri"/>
          <w:sz w:val="20"/>
          <w:szCs w:val="20"/>
        </w:rPr>
        <w:t xml:space="preserve">Please describe how your practice distinguishes, day to day, between the uses and disclosures it may make without authorization - treatment, payment, and health care operations - and the disclosures it is required to make to a patient or to federal investigators. Identify who classifies each incoming request, where that determination is recorded, and how staff escalate a request that does not fit a routine category.</w:t>
      </w:r>
    </w:p>
    <w:p>
      <w:pPr>
        <w:pStyle w:val="ListParagraph"/>
        <w:numPr>
          <w:ilvl w:val="0"/>
          <w:numId w:val="2"/>
        </w:numPr>
        <w:spacing w:after="40" w:line="250"/>
      </w:pPr>
      <w:r>
        <w:rPr>
          <w:rFonts w:ascii="Calibri" w:cs="Calibri" w:eastAsia="Calibri" w:hAnsi="Calibri"/>
          <w:color w:val="595959"/>
          <w:sz w:val="19"/>
          <w:szCs w:val="19"/>
        </w:rPr>
        <w:t xml:space="preserve">Name the role that classifies each request as treatment, payment, or operations.</w:t>
      </w:r>
    </w:p>
    <w:p>
      <w:pPr>
        <w:pStyle w:val="ListParagraph"/>
        <w:numPr>
          <w:ilvl w:val="0"/>
          <w:numId w:val="2"/>
        </w:numPr>
        <w:spacing w:after="40" w:line="250"/>
      </w:pPr>
      <w:r>
        <w:rPr>
          <w:rFonts w:ascii="Calibri" w:cs="Calibri" w:eastAsia="Calibri" w:hAnsi="Calibri"/>
          <w:color w:val="595959"/>
          <w:sz w:val="19"/>
          <w:szCs w:val="19"/>
        </w:rPr>
        <w:t xml:space="preserve">Identify the disclosure log or chart field where the determination is recorded.</w:t>
      </w:r>
    </w:p>
    <w:p>
      <w:pPr>
        <w:pStyle w:val="ListParagraph"/>
        <w:numPr>
          <w:ilvl w:val="0"/>
          <w:numId w:val="2"/>
        </w:numPr>
        <w:spacing w:after="40" w:line="250"/>
      </w:pPr>
      <w:r>
        <w:rPr>
          <w:rFonts w:ascii="Calibri" w:cs="Calibri" w:eastAsia="Calibri" w:hAnsi="Calibri"/>
          <w:color w:val="595959"/>
          <w:sz w:val="19"/>
          <w:szCs w:val="19"/>
        </w:rPr>
        <w:t xml:space="preserve">State how quickly a patient or federal investigator request is escalated, and to whom.</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PRV-02  </w:t>
      </w:r>
      <w:r>
        <w:rPr>
          <w:rFonts w:ascii="Calibri" w:cs="Calibri" w:eastAsia="Calibri" w:hAnsi="Calibri"/>
          <w:b/>
          <w:bCs/>
          <w:color w:val="1F3864"/>
          <w:sz w:val="22"/>
          <w:szCs w:val="22"/>
        </w:rPr>
        <w:t xml:space="preserve">Prohibited Uses and Disclosures</w:t>
      </w:r>
      <w:r>
        <w:rPr>
          <w:sz w:val="18"/>
          <w:szCs w:val="18"/>
        </w:rPr>
        <w:ptab w:alignment="right" w:relativeTo="margin" w:leader="dot"/>
      </w:r>
      <w:r>
        <w:rPr>
          <w:rFonts w:ascii="Calibri" w:cs="Calibri" w:eastAsia="Calibri" w:hAnsi="Calibri"/>
          <w:color w:val="2E5C8A"/>
          <w:sz w:val="18"/>
          <w:szCs w:val="18"/>
        </w:rPr>
        <w:t xml:space="preserve">Manual pp. 10–12</w:t>
      </w:r>
    </w:p>
    <w:p>
      <w:pPr>
        <w:spacing w:after="80" w:before="60" w:line="260"/>
      </w:pPr>
      <w:r>
        <w:rPr>
          <w:rFonts w:ascii="Calibri" w:cs="Calibri" w:eastAsia="Calibri" w:hAnsi="Calibri"/>
          <w:sz w:val="20"/>
          <w:szCs w:val="20"/>
        </w:rPr>
        <w:t xml:space="preserve">Please describe the controls your practice uses to prevent the two activities this policy prohibits: disclosing genetic information for underwriting and receiving payment in exchange for patient information. Identify who reviews vendor, registry, research, and data-sharing arrangements for remuneration terms, and how a proposed arrangement is cleared or refused.</w:t>
      </w:r>
    </w:p>
    <w:p>
      <w:pPr>
        <w:pStyle w:val="ListParagraph"/>
        <w:numPr>
          <w:ilvl w:val="0"/>
          <w:numId w:val="2"/>
        </w:numPr>
        <w:spacing w:after="40" w:line="250"/>
      </w:pPr>
      <w:r>
        <w:rPr>
          <w:rFonts w:ascii="Calibri" w:cs="Calibri" w:eastAsia="Calibri" w:hAnsi="Calibri"/>
          <w:color w:val="595959"/>
          <w:sz w:val="19"/>
          <w:szCs w:val="19"/>
        </w:rPr>
        <w:t xml:space="preserve">Name the role that reviews agreements for payment in exchange for patient data.</w:t>
      </w:r>
    </w:p>
    <w:p>
      <w:pPr>
        <w:pStyle w:val="ListParagraph"/>
        <w:numPr>
          <w:ilvl w:val="0"/>
          <w:numId w:val="2"/>
        </w:numPr>
        <w:spacing w:after="40" w:line="250"/>
      </w:pPr>
      <w:r>
        <w:rPr>
          <w:rFonts w:ascii="Calibri" w:cs="Calibri" w:eastAsia="Calibri" w:hAnsi="Calibri"/>
          <w:color w:val="595959"/>
          <w:sz w:val="19"/>
          <w:szCs w:val="19"/>
        </w:rPr>
        <w:t xml:space="preserve">Identify where genetic and family history results are stored and access-restricted.</w:t>
      </w:r>
    </w:p>
    <w:p>
      <w:pPr>
        <w:pStyle w:val="ListParagraph"/>
        <w:numPr>
          <w:ilvl w:val="0"/>
          <w:numId w:val="2"/>
        </w:numPr>
        <w:spacing w:after="40" w:line="250"/>
      </w:pPr>
      <w:r>
        <w:rPr>
          <w:rFonts w:ascii="Calibri" w:cs="Calibri" w:eastAsia="Calibri" w:hAnsi="Calibri"/>
          <w:color w:val="595959"/>
          <w:sz w:val="19"/>
          <w:szCs w:val="19"/>
        </w:rPr>
        <w:t xml:space="preserve">Describe how a refused arrangement is documented and how often agreements are re-reviewed.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PRV-03  </w:t>
      </w:r>
      <w:r>
        <w:rPr>
          <w:rFonts w:ascii="Calibri" w:cs="Calibri" w:eastAsia="Calibri" w:hAnsi="Calibri"/>
          <w:b/>
          <w:bCs/>
          <w:color w:val="1F3864"/>
          <w:sz w:val="22"/>
          <w:szCs w:val="22"/>
        </w:rPr>
        <w:t xml:space="preserve">Minimum Necessary</w:t>
      </w:r>
      <w:r>
        <w:rPr>
          <w:sz w:val="18"/>
          <w:szCs w:val="18"/>
        </w:rPr>
        <w:ptab w:alignment="right" w:relativeTo="margin" w:leader="dot"/>
      </w:r>
      <w:r>
        <w:rPr>
          <w:rFonts w:ascii="Calibri" w:cs="Calibri" w:eastAsia="Calibri" w:hAnsi="Calibri"/>
          <w:color w:val="2E5C8A"/>
          <w:sz w:val="18"/>
          <w:szCs w:val="18"/>
        </w:rPr>
        <w:t xml:space="preserve">Manual pp. 13–14</w:t>
      </w:r>
    </w:p>
    <w:p>
      <w:pPr>
        <w:spacing w:after="80" w:before="60" w:line="260"/>
      </w:pPr>
      <w:r>
        <w:rPr>
          <w:rFonts w:ascii="Calibri" w:cs="Calibri" w:eastAsia="Calibri" w:hAnsi="Calibri"/>
          <w:sz w:val="20"/>
          <w:szCs w:val="20"/>
        </w:rPr>
        <w:t xml:space="preserve">Please describe how your practice applies the minimum necessary standard at the moment staff use, disclose, or request patient information, and how staff are taught to recognize the situations where the standard does not apply - a treating provider's request, a disclosure to the patient, an authorized disclosure, or a disclosure required by law. Identify who makes the judgment call at the point of the request.</w:t>
      </w:r>
    </w:p>
    <w:p>
      <w:pPr>
        <w:pStyle w:val="ListParagraph"/>
        <w:numPr>
          <w:ilvl w:val="0"/>
          <w:numId w:val="2"/>
        </w:numPr>
        <w:spacing w:after="40" w:line="250"/>
      </w:pPr>
      <w:r>
        <w:rPr>
          <w:rFonts w:ascii="Calibri" w:cs="Calibri" w:eastAsia="Calibri" w:hAnsi="Calibri"/>
          <w:color w:val="595959"/>
          <w:sz w:val="19"/>
          <w:szCs w:val="19"/>
        </w:rPr>
        <w:t xml:space="preserve">Name the position staff consult when unsure whether minimum necessary applies.</w:t>
      </w:r>
    </w:p>
    <w:p>
      <w:pPr>
        <w:pStyle w:val="ListParagraph"/>
        <w:numPr>
          <w:ilvl w:val="0"/>
          <w:numId w:val="2"/>
        </w:numPr>
        <w:spacing w:after="40" w:line="250"/>
      </w:pPr>
      <w:r>
        <w:rPr>
          <w:rFonts w:ascii="Calibri" w:cs="Calibri" w:eastAsia="Calibri" w:hAnsi="Calibri"/>
          <w:color w:val="595959"/>
          <w:sz w:val="19"/>
          <w:szCs w:val="19"/>
        </w:rPr>
        <w:t xml:space="preserve">Describe the job aid, desk reference, or training that lists the exception categories.</w:t>
      </w:r>
    </w:p>
    <w:p>
      <w:pPr>
        <w:pStyle w:val="ListParagraph"/>
        <w:numPr>
          <w:ilvl w:val="0"/>
          <w:numId w:val="2"/>
        </w:numPr>
        <w:spacing w:after="40" w:line="250"/>
      </w:pPr>
      <w:r>
        <w:rPr>
          <w:rFonts w:ascii="Calibri" w:cs="Calibri" w:eastAsia="Calibri" w:hAnsi="Calibri"/>
          <w:color w:val="595959"/>
          <w:sz w:val="19"/>
          <w:szCs w:val="19"/>
        </w:rPr>
        <w:t xml:space="preserve">State how often minimum necessary safeguards are re-evaluated and by whom.</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PRV-04  </w:t>
      </w:r>
      <w:r>
        <w:rPr>
          <w:rFonts w:ascii="Calibri" w:cs="Calibri" w:eastAsia="Calibri" w:hAnsi="Calibri"/>
          <w:b/>
          <w:bCs/>
          <w:color w:val="1F3864"/>
          <w:sz w:val="22"/>
          <w:szCs w:val="22"/>
        </w:rPr>
        <w:t xml:space="preserve">Right to an Accounting of Disclosures of Protected Health Information</w:t>
      </w:r>
      <w:r>
        <w:rPr>
          <w:sz w:val="18"/>
          <w:szCs w:val="18"/>
        </w:rPr>
        <w:ptab w:alignment="right" w:relativeTo="margin" w:leader="dot"/>
      </w:r>
      <w:r>
        <w:rPr>
          <w:rFonts w:ascii="Calibri" w:cs="Calibri" w:eastAsia="Calibri" w:hAnsi="Calibri"/>
          <w:color w:val="2E5C8A"/>
          <w:sz w:val="18"/>
          <w:szCs w:val="18"/>
        </w:rPr>
        <w:t xml:space="preserve">Manual pp. 16–19</w:t>
      </w:r>
    </w:p>
    <w:p>
      <w:pPr>
        <w:spacing w:after="80" w:before="60" w:line="260"/>
      </w:pPr>
      <w:r>
        <w:rPr>
          <w:rFonts w:ascii="Calibri" w:cs="Calibri" w:eastAsia="Calibri" w:hAnsi="Calibri"/>
          <w:sz w:val="20"/>
          <w:szCs w:val="20"/>
        </w:rPr>
        <w:t xml:space="preserve">Please describe how your practice captures disclosures that must appear in an accounting and how it assembles one covering the six years before a patient's request. Identify who receives the request, how the 60-day response deadline and any single 30-day extension are tracked, and how a suspension requested by a health oversight agency or law enforcement official is handled.</w:t>
      </w:r>
    </w:p>
    <w:p>
      <w:pPr>
        <w:pStyle w:val="ListParagraph"/>
        <w:numPr>
          <w:ilvl w:val="0"/>
          <w:numId w:val="2"/>
        </w:numPr>
        <w:spacing w:after="40" w:line="250"/>
      </w:pPr>
      <w:r>
        <w:rPr>
          <w:rFonts w:ascii="Calibri" w:cs="Calibri" w:eastAsia="Calibri" w:hAnsi="Calibri"/>
          <w:color w:val="595959"/>
          <w:sz w:val="19"/>
          <w:szCs w:val="19"/>
        </w:rPr>
        <w:t xml:space="preserve">Name the position that receives and processes accounting of disclosures requests.</w:t>
      </w:r>
    </w:p>
    <w:p>
      <w:pPr>
        <w:pStyle w:val="ListParagraph"/>
        <w:numPr>
          <w:ilvl w:val="0"/>
          <w:numId w:val="2"/>
        </w:numPr>
        <w:spacing w:after="40" w:line="250"/>
      </w:pPr>
      <w:r>
        <w:rPr>
          <w:rFonts w:ascii="Calibri" w:cs="Calibri" w:eastAsia="Calibri" w:hAnsi="Calibri"/>
          <w:color w:val="595959"/>
          <w:sz w:val="19"/>
          <w:szCs w:val="19"/>
        </w:rPr>
        <w:t xml:space="preserve">Identify the disclosure log or system module where each accountable disclosure is captured.</w:t>
      </w:r>
    </w:p>
    <w:p>
      <w:pPr>
        <w:pStyle w:val="ListParagraph"/>
        <w:numPr>
          <w:ilvl w:val="0"/>
          <w:numId w:val="2"/>
        </w:numPr>
        <w:spacing w:after="40" w:line="250"/>
      </w:pPr>
      <w:r>
        <w:rPr>
          <w:rFonts w:ascii="Calibri" w:cs="Calibri" w:eastAsia="Calibri" w:hAnsi="Calibri"/>
          <w:color w:val="595959"/>
          <w:sz w:val="19"/>
          <w:szCs w:val="19"/>
        </w:rPr>
        <w:t xml:space="preserve">Describe how the first free accounting in any 12-month period and later fees are tracked.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PRV-05  </w:t>
      </w:r>
      <w:r>
        <w:rPr>
          <w:rFonts w:ascii="Calibri" w:cs="Calibri" w:eastAsia="Calibri" w:hAnsi="Calibri"/>
          <w:b/>
          <w:bCs/>
          <w:color w:val="1F3864"/>
          <w:sz w:val="22"/>
          <w:szCs w:val="22"/>
        </w:rPr>
        <w:t xml:space="preserve">Uses and Disclosures about Decedents</w:t>
      </w:r>
      <w:r>
        <w:rPr>
          <w:sz w:val="18"/>
          <w:szCs w:val="18"/>
        </w:rPr>
        <w:ptab w:alignment="right" w:relativeTo="margin" w:leader="dot"/>
      </w:r>
      <w:r>
        <w:rPr>
          <w:rFonts w:ascii="Calibri" w:cs="Calibri" w:eastAsia="Calibri" w:hAnsi="Calibri"/>
          <w:color w:val="2E5C8A"/>
          <w:sz w:val="18"/>
          <w:szCs w:val="18"/>
        </w:rPr>
        <w:t xml:space="preserve">Manual pp. 21–22</w:t>
      </w:r>
    </w:p>
    <w:p>
      <w:pPr>
        <w:spacing w:after="80" w:before="60" w:line="260"/>
      </w:pPr>
      <w:r>
        <w:rPr>
          <w:rFonts w:ascii="Calibri" w:cs="Calibri" w:eastAsia="Calibri" w:hAnsi="Calibri"/>
          <w:sz w:val="20"/>
          <w:szCs w:val="20"/>
        </w:rPr>
        <w:t xml:space="preserve">Please describe your practice's workflow for releasing a deceased patient's information to coroners, medical examiners, and funeral directors, including the situation where a funeral director needs information in reasonable anticipation of a death. Identify who takes the call, what is verified about the requester's official role, and how much of the record is released.</w:t>
      </w:r>
    </w:p>
    <w:p>
      <w:pPr>
        <w:pStyle w:val="ListParagraph"/>
        <w:numPr>
          <w:ilvl w:val="0"/>
          <w:numId w:val="2"/>
        </w:numPr>
        <w:spacing w:after="40" w:line="250"/>
      </w:pPr>
      <w:r>
        <w:rPr>
          <w:rFonts w:ascii="Calibri" w:cs="Calibri" w:eastAsia="Calibri" w:hAnsi="Calibri"/>
          <w:color w:val="595959"/>
          <w:sz w:val="19"/>
          <w:szCs w:val="19"/>
        </w:rPr>
        <w:t xml:space="preserve">Name the staff member authorized to release records to a coroner or funeral home.</w:t>
      </w:r>
    </w:p>
    <w:p>
      <w:pPr>
        <w:pStyle w:val="ListParagraph"/>
        <w:numPr>
          <w:ilvl w:val="0"/>
          <w:numId w:val="2"/>
        </w:numPr>
        <w:spacing w:after="40" w:line="250"/>
      </w:pPr>
      <w:r>
        <w:rPr>
          <w:rFonts w:ascii="Calibri" w:cs="Calibri" w:eastAsia="Calibri" w:hAnsi="Calibri"/>
          <w:color w:val="595959"/>
          <w:sz w:val="19"/>
          <w:szCs w:val="19"/>
        </w:rPr>
        <w:t xml:space="preserve">Describe how the requester's official capacity is verified and evidenced in the file.</w:t>
      </w:r>
    </w:p>
    <w:p>
      <w:pPr>
        <w:pStyle w:val="ListParagraph"/>
        <w:numPr>
          <w:ilvl w:val="0"/>
          <w:numId w:val="2"/>
        </w:numPr>
        <w:spacing w:after="40" w:line="250"/>
      </w:pPr>
      <w:r>
        <w:rPr>
          <w:rFonts w:ascii="Calibri" w:cs="Calibri" w:eastAsia="Calibri" w:hAnsi="Calibri"/>
          <w:color w:val="595959"/>
          <w:sz w:val="19"/>
          <w:szCs w:val="19"/>
        </w:rPr>
        <w:t xml:space="preserve">State where each release is logged and the turnaround time expected.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PRV-06  </w:t>
      </w:r>
      <w:r>
        <w:rPr>
          <w:rFonts w:ascii="Calibri" w:cs="Calibri" w:eastAsia="Calibri" w:hAnsi="Calibri"/>
          <w:b/>
          <w:bCs/>
          <w:color w:val="1F3864"/>
          <w:sz w:val="22"/>
          <w:szCs w:val="22"/>
        </w:rPr>
        <w:t xml:space="preserve">Disclosures to Business Associates</w:t>
      </w:r>
      <w:r>
        <w:rPr>
          <w:sz w:val="18"/>
          <w:szCs w:val="18"/>
        </w:rPr>
        <w:ptab w:alignment="right" w:relativeTo="margin" w:leader="dot"/>
      </w:r>
      <w:r>
        <w:rPr>
          <w:rFonts w:ascii="Calibri" w:cs="Calibri" w:eastAsia="Calibri" w:hAnsi="Calibri"/>
          <w:color w:val="2E5C8A"/>
          <w:sz w:val="18"/>
          <w:szCs w:val="18"/>
        </w:rPr>
        <w:t xml:space="preserve">Manual pp. 23–24</w:t>
      </w:r>
    </w:p>
    <w:p>
      <w:pPr>
        <w:spacing w:after="80" w:before="60" w:line="260"/>
      </w:pPr>
      <w:r>
        <w:rPr>
          <w:rFonts w:ascii="Calibri" w:cs="Calibri" w:eastAsia="Calibri" w:hAnsi="Calibri"/>
          <w:sz w:val="20"/>
          <w:szCs w:val="20"/>
        </w:rPr>
        <w:t xml:space="preserve">Please describe how your practice identifies which vendors will create, receive, maintain, or transmit patient information and confirms satisfactory assurances are in place before any data is shared. Identify who maintains the vendor inventory, who confirms the vendor's own subcontractors are covered, and what happens when a new vendor is engaged mid-year.</w:t>
      </w:r>
    </w:p>
    <w:p>
      <w:pPr>
        <w:pStyle w:val="ListParagraph"/>
        <w:numPr>
          <w:ilvl w:val="0"/>
          <w:numId w:val="2"/>
        </w:numPr>
        <w:spacing w:after="40" w:line="250"/>
      </w:pPr>
      <w:r>
        <w:rPr>
          <w:rFonts w:ascii="Calibri" w:cs="Calibri" w:eastAsia="Calibri" w:hAnsi="Calibri"/>
          <w:color w:val="595959"/>
          <w:sz w:val="19"/>
          <w:szCs w:val="19"/>
        </w:rPr>
        <w:t xml:space="preserve">Name the role that approves a vendor before patient data is shared.</w:t>
      </w:r>
    </w:p>
    <w:p>
      <w:pPr>
        <w:pStyle w:val="ListParagraph"/>
        <w:numPr>
          <w:ilvl w:val="0"/>
          <w:numId w:val="2"/>
        </w:numPr>
        <w:spacing w:after="40" w:line="250"/>
      </w:pPr>
      <w:r>
        <w:rPr>
          <w:rFonts w:ascii="Calibri" w:cs="Calibri" w:eastAsia="Calibri" w:hAnsi="Calibri"/>
          <w:color w:val="595959"/>
          <w:sz w:val="19"/>
          <w:szCs w:val="19"/>
        </w:rPr>
        <w:t xml:space="preserve">Identify where the signed agreements and the vendor inventory are stored.</w:t>
      </w:r>
    </w:p>
    <w:p>
      <w:pPr>
        <w:pStyle w:val="ListParagraph"/>
        <w:numPr>
          <w:ilvl w:val="0"/>
          <w:numId w:val="2"/>
        </w:numPr>
        <w:spacing w:after="40" w:line="250"/>
      </w:pPr>
      <w:r>
        <w:rPr>
          <w:rFonts w:ascii="Calibri" w:cs="Calibri" w:eastAsia="Calibri" w:hAnsi="Calibri"/>
          <w:color w:val="595959"/>
          <w:sz w:val="19"/>
          <w:szCs w:val="19"/>
        </w:rPr>
        <w:t xml:space="preserve">State how often the vendor list is reviewed and who performs that review.</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PRV-07  </w:t>
      </w:r>
      <w:r>
        <w:rPr>
          <w:rFonts w:ascii="Calibri" w:cs="Calibri" w:eastAsia="Calibri" w:hAnsi="Calibri"/>
          <w:b/>
          <w:bCs/>
          <w:color w:val="1F3864"/>
          <w:sz w:val="22"/>
          <w:szCs w:val="22"/>
        </w:rPr>
        <w:t xml:space="preserve">Deceased Individuals</w:t>
      </w:r>
      <w:r>
        <w:rPr>
          <w:sz w:val="18"/>
          <w:szCs w:val="18"/>
        </w:rPr>
        <w:ptab w:alignment="right" w:relativeTo="margin" w:leader="dot"/>
      </w:r>
      <w:r>
        <w:rPr>
          <w:rFonts w:ascii="Calibri" w:cs="Calibri" w:eastAsia="Calibri" w:hAnsi="Calibri"/>
          <w:color w:val="2E5C8A"/>
          <w:sz w:val="18"/>
          <w:szCs w:val="18"/>
        </w:rPr>
        <w:t xml:space="preserve">Manual pp. 25–26</w:t>
      </w:r>
    </w:p>
    <w:p>
      <w:pPr>
        <w:spacing w:after="80" w:before="60" w:line="260"/>
      </w:pPr>
      <w:r>
        <w:rPr>
          <w:rFonts w:ascii="Calibri" w:cs="Calibri" w:eastAsia="Calibri" w:hAnsi="Calibri"/>
          <w:sz w:val="20"/>
          <w:szCs w:val="20"/>
        </w:rPr>
        <w:t xml:space="preserve">Please describe how your practice handles requests concerning patients who have died, given that the record remains protected for 50 years after death. Identify how a deceased patient's chart is flagged, who confirms that a requester is the executor, administrator, or other personal representative, and how requests from family members who were involved in the patient's care but hold no legal authority are decided.</w:t>
      </w:r>
    </w:p>
    <w:p>
      <w:pPr>
        <w:pStyle w:val="ListParagraph"/>
        <w:numPr>
          <w:ilvl w:val="0"/>
          <w:numId w:val="2"/>
        </w:numPr>
        <w:spacing w:after="40" w:line="250"/>
      </w:pPr>
      <w:r>
        <w:rPr>
          <w:rFonts w:ascii="Calibri" w:cs="Calibri" w:eastAsia="Calibri" w:hAnsi="Calibri"/>
          <w:color w:val="595959"/>
          <w:sz w:val="19"/>
          <w:szCs w:val="19"/>
        </w:rPr>
        <w:t xml:space="preserve">Name the role that verifies executor, administrator, or estate authority documents.</w:t>
      </w:r>
    </w:p>
    <w:p>
      <w:pPr>
        <w:pStyle w:val="ListParagraph"/>
        <w:numPr>
          <w:ilvl w:val="0"/>
          <w:numId w:val="2"/>
        </w:numPr>
        <w:spacing w:after="40" w:line="250"/>
      </w:pPr>
      <w:r>
        <w:rPr>
          <w:rFonts w:ascii="Calibri" w:cs="Calibri" w:eastAsia="Calibri" w:hAnsi="Calibri"/>
          <w:color w:val="595959"/>
          <w:sz w:val="19"/>
          <w:szCs w:val="19"/>
        </w:rPr>
        <w:t xml:space="preserve">Describe how the record flags date of death and the 50-year protection period.</w:t>
      </w:r>
    </w:p>
    <w:p>
      <w:pPr>
        <w:pStyle w:val="ListParagraph"/>
        <w:numPr>
          <w:ilvl w:val="0"/>
          <w:numId w:val="2"/>
        </w:numPr>
        <w:spacing w:after="40" w:line="250"/>
      </w:pPr>
      <w:r>
        <w:rPr>
          <w:rFonts w:ascii="Calibri" w:cs="Calibri" w:eastAsia="Calibri" w:hAnsi="Calibri"/>
          <w:color w:val="595959"/>
          <w:sz w:val="19"/>
          <w:szCs w:val="19"/>
        </w:rPr>
        <w:t xml:space="preserve">State how any prior expressed preference of the patient is checked before release.</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PRV-08  </w:t>
      </w:r>
      <w:r>
        <w:rPr>
          <w:rFonts w:ascii="Calibri" w:cs="Calibri" w:eastAsia="Calibri" w:hAnsi="Calibri"/>
          <w:b/>
          <w:bCs/>
          <w:color w:val="1F3864"/>
          <w:sz w:val="22"/>
          <w:szCs w:val="22"/>
        </w:rPr>
        <w:t xml:space="preserve">Personal Representatives</w:t>
      </w:r>
      <w:r>
        <w:rPr>
          <w:sz w:val="18"/>
          <w:szCs w:val="18"/>
        </w:rPr>
        <w:ptab w:alignment="right" w:relativeTo="margin" w:leader="dot"/>
      </w:r>
      <w:r>
        <w:rPr>
          <w:rFonts w:ascii="Calibri" w:cs="Calibri" w:eastAsia="Calibri" w:hAnsi="Calibri"/>
          <w:color w:val="2E5C8A"/>
          <w:sz w:val="18"/>
          <w:szCs w:val="18"/>
        </w:rPr>
        <w:t xml:space="preserve">Manual pp. 28–30</w:t>
      </w:r>
    </w:p>
    <w:p>
      <w:pPr>
        <w:spacing w:after="80" w:before="60" w:line="260"/>
      </w:pPr>
      <w:r>
        <w:rPr>
          <w:rFonts w:ascii="Calibri" w:cs="Calibri" w:eastAsia="Calibri" w:hAnsi="Calibri"/>
          <w:sz w:val="20"/>
          <w:szCs w:val="20"/>
        </w:rPr>
        <w:t xml:space="preserve">Please describe how your practice decides who may act as a personal representative, covering adults with a power of attorney or guardianship, parents of unemancipated minors, and the situations where a minor consented to their own care and no parental consent was required. Identify who reviews the documentation and who exercises professional judgment to refuse a representative in a suspected abuse, neglect, or endangerment situation.</w:t>
      </w:r>
    </w:p>
    <w:p>
      <w:pPr>
        <w:pStyle w:val="ListParagraph"/>
        <w:numPr>
          <w:ilvl w:val="0"/>
          <w:numId w:val="2"/>
        </w:numPr>
        <w:spacing w:after="40" w:line="250"/>
      </w:pPr>
      <w:r>
        <w:rPr>
          <w:rFonts w:ascii="Calibri" w:cs="Calibri" w:eastAsia="Calibri" w:hAnsi="Calibri"/>
          <w:color w:val="595959"/>
          <w:sz w:val="19"/>
          <w:szCs w:val="19"/>
        </w:rPr>
        <w:t xml:space="preserve">Name the role that reviews guardianship, power of attorney, or custody paperwork.</w:t>
      </w:r>
    </w:p>
    <w:p>
      <w:pPr>
        <w:pStyle w:val="ListParagraph"/>
        <w:numPr>
          <w:ilvl w:val="0"/>
          <w:numId w:val="2"/>
        </w:numPr>
        <w:spacing w:after="40" w:line="250"/>
      </w:pPr>
      <w:r>
        <w:rPr>
          <w:rFonts w:ascii="Calibri" w:cs="Calibri" w:eastAsia="Calibri" w:hAnsi="Calibri"/>
          <w:color w:val="595959"/>
          <w:sz w:val="19"/>
          <w:szCs w:val="19"/>
        </w:rPr>
        <w:t xml:space="preserve">Describe where representative status is recorded in the chart and how it is updated.</w:t>
      </w:r>
    </w:p>
    <w:p>
      <w:pPr>
        <w:pStyle w:val="ListParagraph"/>
        <w:numPr>
          <w:ilvl w:val="0"/>
          <w:numId w:val="2"/>
        </w:numPr>
        <w:spacing w:after="40" w:line="250"/>
      </w:pPr>
      <w:r>
        <w:rPr>
          <w:rFonts w:ascii="Calibri" w:cs="Calibri" w:eastAsia="Calibri" w:hAnsi="Calibri"/>
          <w:color w:val="595959"/>
          <w:sz w:val="19"/>
          <w:szCs w:val="19"/>
        </w:rPr>
        <w:t xml:space="preserve">Identify the licensed professional who decides to deny representative status.</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PRV-09  </w:t>
      </w:r>
      <w:r>
        <w:rPr>
          <w:rFonts w:ascii="Calibri" w:cs="Calibri" w:eastAsia="Calibri" w:hAnsi="Calibri"/>
          <w:b/>
          <w:bCs/>
          <w:color w:val="1F3864"/>
          <w:sz w:val="22"/>
          <w:szCs w:val="22"/>
        </w:rPr>
        <w:t xml:space="preserve">Confidential Communications</w:t>
      </w:r>
      <w:r>
        <w:rPr>
          <w:sz w:val="18"/>
          <w:szCs w:val="18"/>
        </w:rPr>
        <w:ptab w:alignment="right" w:relativeTo="margin" w:leader="dot"/>
      </w:r>
      <w:r>
        <w:rPr>
          <w:rFonts w:ascii="Calibri" w:cs="Calibri" w:eastAsia="Calibri" w:hAnsi="Calibri"/>
          <w:color w:val="2E5C8A"/>
          <w:sz w:val="18"/>
          <w:szCs w:val="18"/>
        </w:rPr>
        <w:t xml:space="preserve">Manual pp. 32–33</w:t>
      </w:r>
    </w:p>
    <w:p>
      <w:pPr>
        <w:spacing w:after="80" w:before="60" w:line="260"/>
      </w:pPr>
      <w:r>
        <w:rPr>
          <w:rFonts w:ascii="Calibri" w:cs="Calibri" w:eastAsia="Calibri" w:hAnsi="Calibri"/>
          <w:sz w:val="20"/>
          <w:szCs w:val="20"/>
        </w:rPr>
        <w:t xml:space="preserve">Please describe how your practice receives and accommodates a patient's request to be contacted by alternative means or at an alternative location - a different phone number, a work or relative's address, or no voicemail. Identify who takes the request at the point of contact, how staff avoid asking the patient why, and how the accommodation reaches clinical, front desk, and billing staff.</w:t>
      </w:r>
    </w:p>
    <w:p>
      <w:pPr>
        <w:pStyle w:val="ListParagraph"/>
        <w:numPr>
          <w:ilvl w:val="0"/>
          <w:numId w:val="2"/>
        </w:numPr>
        <w:spacing w:after="40" w:line="250"/>
      </w:pPr>
      <w:r>
        <w:rPr>
          <w:rFonts w:ascii="Calibri" w:cs="Calibri" w:eastAsia="Calibri" w:hAnsi="Calibri"/>
          <w:color w:val="595959"/>
          <w:sz w:val="19"/>
          <w:szCs w:val="19"/>
        </w:rPr>
        <w:t xml:space="preserve">Name the staff role that intakes an alternative contact or location request.</w:t>
      </w:r>
    </w:p>
    <w:p>
      <w:pPr>
        <w:pStyle w:val="ListParagraph"/>
        <w:numPr>
          <w:ilvl w:val="0"/>
          <w:numId w:val="2"/>
        </w:numPr>
        <w:spacing w:after="40" w:line="250"/>
      </w:pPr>
      <w:r>
        <w:rPr>
          <w:rFonts w:ascii="Calibri" w:cs="Calibri" w:eastAsia="Calibri" w:hAnsi="Calibri"/>
          <w:color w:val="595959"/>
          <w:sz w:val="19"/>
          <w:szCs w:val="19"/>
        </w:rPr>
        <w:t xml:space="preserve">Describe how the alternative address or phone number is flagged in the record.</w:t>
      </w:r>
    </w:p>
    <w:p>
      <w:pPr>
        <w:pStyle w:val="ListParagraph"/>
        <w:numPr>
          <w:ilvl w:val="0"/>
          <w:numId w:val="2"/>
        </w:numPr>
        <w:spacing w:after="40" w:line="250"/>
      </w:pPr>
      <w:r>
        <w:rPr>
          <w:rFonts w:ascii="Calibri" w:cs="Calibri" w:eastAsia="Calibri" w:hAnsi="Calibri"/>
          <w:color w:val="595959"/>
          <w:sz w:val="19"/>
          <w:szCs w:val="19"/>
        </w:rPr>
        <w:t xml:space="preserve">State how appointment reminders and billing statements are adjusted and verified.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PRV-10  </w:t>
      </w:r>
      <w:r>
        <w:rPr>
          <w:rFonts w:ascii="Calibri" w:cs="Calibri" w:eastAsia="Calibri" w:hAnsi="Calibri"/>
          <w:b/>
          <w:bCs/>
          <w:color w:val="1F3864"/>
          <w:sz w:val="22"/>
          <w:szCs w:val="22"/>
        </w:rPr>
        <w:t xml:space="preserve">Uses and Disclosures Consistent with Notice</w:t>
      </w:r>
      <w:r>
        <w:rPr>
          <w:sz w:val="18"/>
          <w:szCs w:val="18"/>
        </w:rPr>
        <w:ptab w:alignment="right" w:relativeTo="margin" w:leader="dot"/>
      </w:r>
      <w:r>
        <w:rPr>
          <w:rFonts w:ascii="Calibri" w:cs="Calibri" w:eastAsia="Calibri" w:hAnsi="Calibri"/>
          <w:color w:val="2E5C8A"/>
          <w:sz w:val="18"/>
          <w:szCs w:val="18"/>
        </w:rPr>
        <w:t xml:space="preserve">Manual pp. 35–36</w:t>
      </w:r>
    </w:p>
    <w:p>
      <w:pPr>
        <w:spacing w:after="80" w:before="60" w:line="260"/>
      </w:pPr>
      <w:r>
        <w:rPr>
          <w:rFonts w:ascii="Calibri" w:cs="Calibri" w:eastAsia="Calibri" w:hAnsi="Calibri"/>
          <w:sz w:val="20"/>
          <w:szCs w:val="20"/>
        </w:rPr>
        <w:t xml:space="preserve">Please describe how your practice keeps its actual uses and disclosures consistent with what its Notice of Privacy Practices states, including the separate statement needed if the practice contacts patients to raise funds. Identify who reviews new activities - a patient portal, an outreach campaign, a registry submission, a new vendor - against the current Notice before the activity starts.</w:t>
      </w:r>
    </w:p>
    <w:p>
      <w:pPr>
        <w:pStyle w:val="ListParagraph"/>
        <w:numPr>
          <w:ilvl w:val="0"/>
          <w:numId w:val="2"/>
        </w:numPr>
        <w:spacing w:after="40" w:line="250"/>
      </w:pPr>
      <w:r>
        <w:rPr>
          <w:rFonts w:ascii="Calibri" w:cs="Calibri" w:eastAsia="Calibri" w:hAnsi="Calibri"/>
          <w:color w:val="595959"/>
          <w:sz w:val="19"/>
          <w:szCs w:val="19"/>
        </w:rPr>
        <w:t xml:space="preserve">Name the role that reviews proposed new activities against the current Notice.</w:t>
      </w:r>
    </w:p>
    <w:p>
      <w:pPr>
        <w:pStyle w:val="ListParagraph"/>
        <w:numPr>
          <w:ilvl w:val="0"/>
          <w:numId w:val="2"/>
        </w:numPr>
        <w:spacing w:after="40" w:line="250"/>
      </w:pPr>
      <w:r>
        <w:rPr>
          <w:rFonts w:ascii="Calibri" w:cs="Calibri" w:eastAsia="Calibri" w:hAnsi="Calibri"/>
          <w:color w:val="595959"/>
          <w:sz w:val="19"/>
          <w:szCs w:val="19"/>
        </w:rPr>
        <w:t xml:space="preserve">Identify where the current Notice version and its effective date are maintained.</w:t>
      </w:r>
    </w:p>
    <w:p>
      <w:pPr>
        <w:pStyle w:val="ListParagraph"/>
        <w:numPr>
          <w:ilvl w:val="0"/>
          <w:numId w:val="2"/>
        </w:numPr>
        <w:spacing w:after="40" w:line="250"/>
      </w:pPr>
      <w:r>
        <w:rPr>
          <w:rFonts w:ascii="Calibri" w:cs="Calibri" w:eastAsia="Calibri" w:hAnsi="Calibri"/>
          <w:color w:val="595959"/>
          <w:sz w:val="19"/>
          <w:szCs w:val="19"/>
        </w:rPr>
        <w:t xml:space="preserve">State how often actual practice is compared against the Notice, and by whom.</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PRV-11  </w:t>
      </w:r>
      <w:r>
        <w:rPr>
          <w:rFonts w:ascii="Calibri" w:cs="Calibri" w:eastAsia="Calibri" w:hAnsi="Calibri"/>
          <w:b/>
          <w:bCs/>
          <w:color w:val="1F3864"/>
          <w:sz w:val="22"/>
          <w:szCs w:val="22"/>
        </w:rPr>
        <w:t xml:space="preserve">Disclosures by Whistleblowers and Workforce Member Crime Victims</w:t>
      </w:r>
      <w:r>
        <w:rPr>
          <w:sz w:val="18"/>
          <w:szCs w:val="18"/>
        </w:rPr>
        <w:ptab w:alignment="right" w:relativeTo="margin" w:leader="dot"/>
      </w:r>
      <w:r>
        <w:rPr>
          <w:rFonts w:ascii="Calibri" w:cs="Calibri" w:eastAsia="Calibri" w:hAnsi="Calibri"/>
          <w:color w:val="2E5C8A"/>
          <w:sz w:val="18"/>
          <w:szCs w:val="18"/>
        </w:rPr>
        <w:t xml:space="preserve">Manual pp. 37–38</w:t>
      </w:r>
    </w:p>
    <w:p>
      <w:pPr>
        <w:spacing w:after="80" w:before="60" w:line="260"/>
      </w:pPr>
      <w:r>
        <w:rPr>
          <w:rFonts w:ascii="Calibri" w:cs="Calibri" w:eastAsia="Calibri" w:hAnsi="Calibri"/>
          <w:sz w:val="20"/>
          <w:szCs w:val="20"/>
        </w:rPr>
        <w:t xml:space="preserve">Please describe how your practice responds when a workforce member discloses patient information as a whistleblower to a health oversight agency, public health authority, accreditation organization, or their own attorney, or as the victim of a crime reporting a suspected perpetrator to law enforcement. Identify how staff are told these disclosures are protected and whom they may contact internally without fear of reprisal.</w:t>
      </w:r>
    </w:p>
    <w:p>
      <w:pPr>
        <w:pStyle w:val="ListParagraph"/>
        <w:numPr>
          <w:ilvl w:val="0"/>
          <w:numId w:val="2"/>
        </w:numPr>
        <w:spacing w:after="40" w:line="250"/>
      </w:pPr>
      <w:r>
        <w:rPr>
          <w:rFonts w:ascii="Calibri" w:cs="Calibri" w:eastAsia="Calibri" w:hAnsi="Calibri"/>
          <w:color w:val="595959"/>
          <w:sz w:val="19"/>
          <w:szCs w:val="19"/>
        </w:rPr>
        <w:t xml:space="preserve">Name the internal contact, officer, or hotline available to a workforce member.</w:t>
      </w:r>
    </w:p>
    <w:p>
      <w:pPr>
        <w:pStyle w:val="ListParagraph"/>
        <w:numPr>
          <w:ilvl w:val="0"/>
          <w:numId w:val="2"/>
        </w:numPr>
        <w:spacing w:after="40" w:line="250"/>
      </w:pPr>
      <w:r>
        <w:rPr>
          <w:rFonts w:ascii="Calibri" w:cs="Calibri" w:eastAsia="Calibri" w:hAnsi="Calibri"/>
          <w:color w:val="595959"/>
          <w:sz w:val="19"/>
          <w:szCs w:val="19"/>
        </w:rPr>
        <w:t xml:space="preserve">Describe how such a report is documented without retaliating against the reporter.</w:t>
      </w:r>
    </w:p>
    <w:p>
      <w:pPr>
        <w:pStyle w:val="ListParagraph"/>
        <w:numPr>
          <w:ilvl w:val="0"/>
          <w:numId w:val="2"/>
        </w:numPr>
        <w:spacing w:after="40" w:line="250"/>
      </w:pPr>
      <w:r>
        <w:rPr>
          <w:rFonts w:ascii="Calibri" w:cs="Calibri" w:eastAsia="Calibri" w:hAnsi="Calibri"/>
          <w:color w:val="595959"/>
          <w:sz w:val="19"/>
          <w:szCs w:val="19"/>
        </w:rPr>
        <w:t xml:space="preserve">State how this protection is covered in onboarding and annual training.</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PRV-12  </w:t>
      </w:r>
      <w:r>
        <w:rPr>
          <w:rFonts w:ascii="Calibri" w:cs="Calibri" w:eastAsia="Calibri" w:hAnsi="Calibri"/>
          <w:b/>
          <w:bCs/>
          <w:color w:val="1F3864"/>
          <w:sz w:val="22"/>
          <w:szCs w:val="22"/>
        </w:rPr>
        <w:t xml:space="preserve">Business Associate Contracts</w:t>
      </w:r>
      <w:r>
        <w:rPr>
          <w:sz w:val="18"/>
          <w:szCs w:val="18"/>
        </w:rPr>
        <w:ptab w:alignment="right" w:relativeTo="margin" w:leader="dot"/>
      </w:r>
      <w:r>
        <w:rPr>
          <w:rFonts w:ascii="Calibri" w:cs="Calibri" w:eastAsia="Calibri" w:hAnsi="Calibri"/>
          <w:color w:val="2E5C8A"/>
          <w:sz w:val="18"/>
          <w:szCs w:val="18"/>
        </w:rPr>
        <w:t xml:space="preserve">Manual pp. 40–43</w:t>
      </w:r>
    </w:p>
    <w:p>
      <w:pPr>
        <w:spacing w:after="80" w:before="60" w:line="260"/>
      </w:pPr>
      <w:r>
        <w:rPr>
          <w:rFonts w:ascii="Calibri" w:cs="Calibri" w:eastAsia="Calibri" w:hAnsi="Calibri"/>
          <w:sz w:val="20"/>
          <w:szCs w:val="20"/>
        </w:rPr>
        <w:t xml:space="preserve">Please document how your practice negotiates, monitors, and ends business associate contracts, including the steps taken when the practice learns of a pattern of activity that materially breaches a vendor's obligations and must be cured or the contract terminated. Identify who confirms at contract end that patient information was returned or destroyed and no copies remain.</w:t>
      </w:r>
    </w:p>
    <w:p>
      <w:pPr>
        <w:pStyle w:val="ListParagraph"/>
        <w:numPr>
          <w:ilvl w:val="0"/>
          <w:numId w:val="2"/>
        </w:numPr>
        <w:spacing w:after="40" w:line="250"/>
      </w:pPr>
      <w:r>
        <w:rPr>
          <w:rFonts w:ascii="Calibri" w:cs="Calibri" w:eastAsia="Calibri" w:hAnsi="Calibri"/>
          <w:color w:val="595959"/>
          <w:sz w:val="19"/>
          <w:szCs w:val="19"/>
        </w:rPr>
        <w:t xml:space="preserve">Name the role that signs business associate agreements and holds the originals.</w:t>
      </w:r>
    </w:p>
    <w:p>
      <w:pPr>
        <w:pStyle w:val="ListParagraph"/>
        <w:numPr>
          <w:ilvl w:val="0"/>
          <w:numId w:val="2"/>
        </w:numPr>
        <w:spacing w:after="40" w:line="250"/>
      </w:pPr>
      <w:r>
        <w:rPr>
          <w:rFonts w:ascii="Calibri" w:cs="Calibri" w:eastAsia="Calibri" w:hAnsi="Calibri"/>
          <w:color w:val="595959"/>
          <w:sz w:val="19"/>
          <w:szCs w:val="19"/>
        </w:rPr>
        <w:t xml:space="preserve">Describe the tracking record used for renewal dates and vendor-reported incidents.</w:t>
      </w:r>
    </w:p>
    <w:p>
      <w:pPr>
        <w:pStyle w:val="ListParagraph"/>
        <w:numPr>
          <w:ilvl w:val="0"/>
          <w:numId w:val="2"/>
        </w:numPr>
        <w:spacing w:after="40" w:line="250"/>
      </w:pPr>
      <w:r>
        <w:rPr>
          <w:rFonts w:ascii="Calibri" w:cs="Calibri" w:eastAsia="Calibri" w:hAnsi="Calibri"/>
          <w:color w:val="595959"/>
          <w:sz w:val="19"/>
          <w:szCs w:val="19"/>
        </w:rPr>
        <w:t xml:space="preserve">State how return or destruction of data at termination is verified and evidenced.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PRV-13  </w:t>
      </w:r>
      <w:r>
        <w:rPr>
          <w:rFonts w:ascii="Calibri" w:cs="Calibri" w:eastAsia="Calibri" w:hAnsi="Calibri"/>
          <w:b/>
          <w:bCs/>
          <w:color w:val="1F3864"/>
          <w:sz w:val="22"/>
          <w:szCs w:val="22"/>
        </w:rPr>
        <w:t xml:space="preserve">Requirements for a Covered Entity with Multiple Covered Functions</w:t>
      </w:r>
      <w:r>
        <w:rPr>
          <w:sz w:val="18"/>
          <w:szCs w:val="18"/>
        </w:rPr>
        <w:ptab w:alignment="right" w:relativeTo="margin" w:leader="dot"/>
      </w:r>
      <w:r>
        <w:rPr>
          <w:rFonts w:ascii="Calibri" w:cs="Calibri" w:eastAsia="Calibri" w:hAnsi="Calibri"/>
          <w:color w:val="2E5C8A"/>
          <w:sz w:val="18"/>
          <w:szCs w:val="18"/>
        </w:rPr>
        <w:t xml:space="preserve">Manual pp. 44–45</w:t>
      </w:r>
    </w:p>
    <w:p>
      <w:pPr>
        <w:spacing w:after="80" w:before="60" w:line="260"/>
      </w:pPr>
      <w:r>
        <w:rPr>
          <w:rFonts w:ascii="Calibri" w:cs="Calibri" w:eastAsia="Calibri" w:hAnsi="Calibri"/>
          <w:sz w:val="20"/>
          <w:szCs w:val="20"/>
        </w:rPr>
        <w:t xml:space="preserve">Please identify each covered function your practice performs - health care provider, health plan, or health care clearinghouse - and describe how information collected while performing one function is kept separate from the others. Identify which staff work across functions and how their access is limited to the function actually being performed at the time.</w:t>
      </w:r>
    </w:p>
    <w:p>
      <w:pPr>
        <w:pStyle w:val="ListParagraph"/>
        <w:numPr>
          <w:ilvl w:val="0"/>
          <w:numId w:val="2"/>
        </w:numPr>
        <w:spacing w:after="40" w:line="250"/>
      </w:pPr>
      <w:r>
        <w:rPr>
          <w:rFonts w:ascii="Calibri" w:cs="Calibri" w:eastAsia="Calibri" w:hAnsi="Calibri"/>
          <w:color w:val="595959"/>
          <w:sz w:val="19"/>
          <w:szCs w:val="19"/>
        </w:rPr>
        <w:t xml:space="preserve">List each covered function and the site or department that performs it.</w:t>
      </w:r>
    </w:p>
    <w:p>
      <w:pPr>
        <w:pStyle w:val="ListParagraph"/>
        <w:numPr>
          <w:ilvl w:val="0"/>
          <w:numId w:val="2"/>
        </w:numPr>
        <w:spacing w:after="40" w:line="250"/>
      </w:pPr>
      <w:r>
        <w:rPr>
          <w:rFonts w:ascii="Calibri" w:cs="Calibri" w:eastAsia="Calibri" w:hAnsi="Calibri"/>
          <w:color w:val="595959"/>
          <w:sz w:val="19"/>
          <w:szCs w:val="19"/>
        </w:rPr>
        <w:t xml:space="preserve">Describe how the practice management system segregates access by function.</w:t>
      </w:r>
    </w:p>
    <w:p>
      <w:pPr>
        <w:pStyle w:val="ListParagraph"/>
        <w:numPr>
          <w:ilvl w:val="0"/>
          <w:numId w:val="2"/>
        </w:numPr>
        <w:spacing w:after="40" w:line="250"/>
      </w:pPr>
      <w:r>
        <w:rPr>
          <w:rFonts w:ascii="Calibri" w:cs="Calibri" w:eastAsia="Calibri" w:hAnsi="Calibri"/>
          <w:color w:val="595959"/>
          <w:sz w:val="19"/>
          <w:szCs w:val="19"/>
        </w:rPr>
        <w:t xml:space="preserve">Name the role that reviews cross-function access and how often it is reviewed.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PRV-14  </w:t>
      </w:r>
      <w:r>
        <w:rPr>
          <w:rFonts w:ascii="Calibri" w:cs="Calibri" w:eastAsia="Calibri" w:hAnsi="Calibri"/>
          <w:b/>
          <w:bCs/>
          <w:color w:val="1F3864"/>
          <w:sz w:val="22"/>
          <w:szCs w:val="22"/>
        </w:rPr>
        <w:t xml:space="preserve">Authorizations for Uses and Disclosures</w:t>
      </w:r>
      <w:r>
        <w:rPr>
          <w:sz w:val="18"/>
          <w:szCs w:val="18"/>
        </w:rPr>
        <w:ptab w:alignment="right" w:relativeTo="margin" w:leader="dot"/>
      </w:r>
      <w:r>
        <w:rPr>
          <w:rFonts w:ascii="Calibri" w:cs="Calibri" w:eastAsia="Calibri" w:hAnsi="Calibri"/>
          <w:color w:val="2E5C8A"/>
          <w:sz w:val="18"/>
          <w:szCs w:val="18"/>
        </w:rPr>
        <w:t xml:space="preserve">Manual pp. 48–52</w:t>
      </w:r>
    </w:p>
    <w:p>
      <w:pPr>
        <w:spacing w:after="80" w:before="60" w:line="260"/>
      </w:pPr>
      <w:r>
        <w:rPr>
          <w:rFonts w:ascii="Calibri" w:cs="Calibri" w:eastAsia="Calibri" w:hAnsi="Calibri"/>
          <w:sz w:val="20"/>
          <w:szCs w:val="20"/>
        </w:rPr>
        <w:t xml:space="preserve">Please describe how your practice obtains, checks, and files a signed authorization, including the separate authorizations required for psychotherapy notes, marketing communications, and any disclosure that results in payment to the practice. Identify who reviews an authorization for the required elements, how an expired, incomplete, or revoked form is rejected, and how a written revocation is processed.</w:t>
      </w:r>
    </w:p>
    <w:p>
      <w:pPr>
        <w:pStyle w:val="ListParagraph"/>
        <w:numPr>
          <w:ilvl w:val="0"/>
          <w:numId w:val="2"/>
        </w:numPr>
        <w:spacing w:after="40" w:line="250"/>
      </w:pPr>
      <w:r>
        <w:rPr>
          <w:rFonts w:ascii="Calibri" w:cs="Calibri" w:eastAsia="Calibri" w:hAnsi="Calibri"/>
          <w:color w:val="595959"/>
          <w:sz w:val="19"/>
          <w:szCs w:val="19"/>
        </w:rPr>
        <w:t xml:space="preserve">Name the role that reviews each authorization for completeness and expiration.</w:t>
      </w:r>
    </w:p>
    <w:p>
      <w:pPr>
        <w:pStyle w:val="ListParagraph"/>
        <w:numPr>
          <w:ilvl w:val="0"/>
          <w:numId w:val="2"/>
        </w:numPr>
        <w:spacing w:after="40" w:line="250"/>
      </w:pPr>
      <w:r>
        <w:rPr>
          <w:rFonts w:ascii="Calibri" w:cs="Calibri" w:eastAsia="Calibri" w:hAnsi="Calibri"/>
          <w:color w:val="595959"/>
          <w:sz w:val="19"/>
          <w:szCs w:val="19"/>
        </w:rPr>
        <w:t xml:space="preserve">Identify the authorization form used and where signed copies are retained.</w:t>
      </w:r>
    </w:p>
    <w:p>
      <w:pPr>
        <w:pStyle w:val="ListParagraph"/>
        <w:numPr>
          <w:ilvl w:val="0"/>
          <w:numId w:val="2"/>
        </w:numPr>
        <w:spacing w:after="40" w:line="250"/>
      </w:pPr>
      <w:r>
        <w:rPr>
          <w:rFonts w:ascii="Calibri" w:cs="Calibri" w:eastAsia="Calibri" w:hAnsi="Calibri"/>
          <w:color w:val="595959"/>
          <w:sz w:val="19"/>
          <w:szCs w:val="19"/>
        </w:rPr>
        <w:t xml:space="preserve">Describe how a revocation is recorded and how quickly further disclosures stop.</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PRV-15  </w:t>
      </w:r>
      <w:r>
        <w:rPr>
          <w:rFonts w:ascii="Calibri" w:cs="Calibri" w:eastAsia="Calibri" w:hAnsi="Calibri"/>
          <w:b/>
          <w:bCs/>
          <w:color w:val="1F3864"/>
          <w:sz w:val="22"/>
          <w:szCs w:val="22"/>
        </w:rPr>
        <w:t xml:space="preserve">Uses and Disclosures for Involvement in the Individual's Care and Notification Purposes</w:t>
      </w:r>
      <w:r>
        <w:rPr>
          <w:sz w:val="18"/>
          <w:szCs w:val="18"/>
        </w:rPr>
        <w:ptab w:alignment="right" w:relativeTo="margin" w:leader="dot"/>
      </w:r>
      <w:r>
        <w:rPr>
          <w:rFonts w:ascii="Calibri" w:cs="Calibri" w:eastAsia="Calibri" w:hAnsi="Calibri"/>
          <w:color w:val="2E5C8A"/>
          <w:sz w:val="18"/>
          <w:szCs w:val="18"/>
        </w:rPr>
        <w:t xml:space="preserve">Manual pp. 53–55</w:t>
      </w:r>
    </w:p>
    <w:p>
      <w:pPr>
        <w:spacing w:after="80" w:before="60" w:line="260"/>
      </w:pPr>
      <w:r>
        <w:rPr>
          <w:rFonts w:ascii="Calibri" w:cs="Calibri" w:eastAsia="Calibri" w:hAnsi="Calibri"/>
          <w:sz w:val="20"/>
          <w:szCs w:val="20"/>
        </w:rPr>
        <w:t xml:space="preserve">Please describe how your practice decides what to share with a family member, relative, close friend, or caregiver involved in a patient's care, both when the patient is present and able to agree or object and when the patient is incapacitated or in an emergency. Identify how the patient's agreement or objection is captured and how notification calls about a patient's location, condition, or death are handled.</w:t>
      </w:r>
    </w:p>
    <w:p>
      <w:pPr>
        <w:pStyle w:val="ListParagraph"/>
        <w:numPr>
          <w:ilvl w:val="0"/>
          <w:numId w:val="2"/>
        </w:numPr>
        <w:spacing w:after="40" w:line="250"/>
      </w:pPr>
      <w:r>
        <w:rPr>
          <w:rFonts w:ascii="Calibri" w:cs="Calibri" w:eastAsia="Calibri" w:hAnsi="Calibri"/>
          <w:color w:val="595959"/>
          <w:sz w:val="19"/>
          <w:szCs w:val="19"/>
        </w:rPr>
        <w:t xml:space="preserve">Describe how the patient's agreement or objection is captured in the chart.</w:t>
      </w:r>
    </w:p>
    <w:p>
      <w:pPr>
        <w:pStyle w:val="ListParagraph"/>
        <w:numPr>
          <w:ilvl w:val="0"/>
          <w:numId w:val="2"/>
        </w:numPr>
        <w:spacing w:after="40" w:line="250"/>
      </w:pPr>
      <w:r>
        <w:rPr>
          <w:rFonts w:ascii="Calibri" w:cs="Calibri" w:eastAsia="Calibri" w:hAnsi="Calibri"/>
          <w:color w:val="595959"/>
          <w:sz w:val="19"/>
          <w:szCs w:val="19"/>
        </w:rPr>
        <w:t xml:space="preserve">Name the clinical role that exercises professional judgment when the patient cannot respond.</w:t>
      </w:r>
    </w:p>
    <w:p>
      <w:pPr>
        <w:pStyle w:val="ListParagraph"/>
        <w:numPr>
          <w:ilvl w:val="0"/>
          <w:numId w:val="2"/>
        </w:numPr>
        <w:spacing w:after="40" w:line="250"/>
      </w:pPr>
      <w:r>
        <w:rPr>
          <w:rFonts w:ascii="Calibri" w:cs="Calibri" w:eastAsia="Calibri" w:hAnsi="Calibri"/>
          <w:color w:val="595959"/>
          <w:sz w:val="19"/>
          <w:szCs w:val="19"/>
        </w:rPr>
        <w:t xml:space="preserve">State how disaster relief contacts and family notification calls are documented.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PRV-16  </w:t>
      </w:r>
      <w:r>
        <w:rPr>
          <w:rFonts w:ascii="Calibri" w:cs="Calibri" w:eastAsia="Calibri" w:hAnsi="Calibri"/>
          <w:b/>
          <w:bCs/>
          <w:color w:val="1F3864"/>
          <w:sz w:val="22"/>
          <w:szCs w:val="22"/>
        </w:rPr>
        <w:t xml:space="preserve">Uses and Disclosures for Public Health Activities</w:t>
      </w:r>
      <w:r>
        <w:rPr>
          <w:sz w:val="18"/>
          <w:szCs w:val="18"/>
        </w:rPr>
        <w:ptab w:alignment="right" w:relativeTo="margin" w:leader="dot"/>
      </w:r>
      <w:r>
        <w:rPr>
          <w:rFonts w:ascii="Calibri" w:cs="Calibri" w:eastAsia="Calibri" w:hAnsi="Calibri"/>
          <w:color w:val="2E5C8A"/>
          <w:sz w:val="18"/>
          <w:szCs w:val="18"/>
        </w:rPr>
        <w:t xml:space="preserve">Manual pp. 56–58</w:t>
      </w:r>
    </w:p>
    <w:p>
      <w:pPr>
        <w:spacing w:after="80" w:before="60" w:line="260"/>
      </w:pPr>
      <w:r>
        <w:rPr>
          <w:rFonts w:ascii="Calibri" w:cs="Calibri" w:eastAsia="Calibri" w:hAnsi="Calibri"/>
          <w:sz w:val="20"/>
          <w:szCs w:val="20"/>
        </w:rPr>
        <w:t xml:space="preserve">Please describe your practice's public health reporting workflow by report type - reportable disease and vital event reporting to the health department, child abuse or neglect reports, adverse event and product recall reporting for regulated products, communicable disease exposure notifications, workplace surveillance findings sent to an employer, and immunization proof sent to a school. Identify who files each type and by when.</w:t>
      </w:r>
    </w:p>
    <w:p>
      <w:pPr>
        <w:pStyle w:val="ListParagraph"/>
        <w:numPr>
          <w:ilvl w:val="0"/>
          <w:numId w:val="2"/>
        </w:numPr>
        <w:spacing w:after="40" w:line="250"/>
      </w:pPr>
      <w:r>
        <w:rPr>
          <w:rFonts w:ascii="Calibri" w:cs="Calibri" w:eastAsia="Calibri" w:hAnsi="Calibri"/>
          <w:color w:val="595959"/>
          <w:sz w:val="19"/>
          <w:szCs w:val="19"/>
        </w:rPr>
        <w:t xml:space="preserve">Name the role responsible for each category of public health report.</w:t>
      </w:r>
    </w:p>
    <w:p>
      <w:pPr>
        <w:pStyle w:val="ListParagraph"/>
        <w:numPr>
          <w:ilvl w:val="0"/>
          <w:numId w:val="2"/>
        </w:numPr>
        <w:spacing w:after="40" w:line="250"/>
      </w:pPr>
      <w:r>
        <w:rPr>
          <w:rFonts w:ascii="Calibri" w:cs="Calibri" w:eastAsia="Calibri" w:hAnsi="Calibri"/>
          <w:color w:val="595959"/>
          <w:sz w:val="19"/>
          <w:szCs w:val="19"/>
        </w:rPr>
        <w:t xml:space="preserve">Identify the reporting portal, registry, or form used for each report type.</w:t>
      </w:r>
    </w:p>
    <w:p>
      <w:pPr>
        <w:pStyle w:val="ListParagraph"/>
        <w:numPr>
          <w:ilvl w:val="0"/>
          <w:numId w:val="2"/>
        </w:numPr>
        <w:spacing w:after="40" w:line="250"/>
      </w:pPr>
      <w:r>
        <w:rPr>
          <w:rFonts w:ascii="Calibri" w:cs="Calibri" w:eastAsia="Calibri" w:hAnsi="Calibri"/>
          <w:color w:val="595959"/>
          <w:sz w:val="19"/>
          <w:szCs w:val="19"/>
        </w:rPr>
        <w:t xml:space="preserve">Describe how the school immunization agreement and employer written notice are documented.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PRV-17  </w:t>
      </w:r>
      <w:r>
        <w:rPr>
          <w:rFonts w:ascii="Calibri" w:cs="Calibri" w:eastAsia="Calibri" w:hAnsi="Calibri"/>
          <w:b/>
          <w:bCs/>
          <w:color w:val="1F3864"/>
          <w:sz w:val="22"/>
          <w:szCs w:val="22"/>
        </w:rPr>
        <w:t xml:space="preserve">Disclosures about Victims of Abuse, Neglect or Domestic Violence</w:t>
      </w:r>
      <w:r>
        <w:rPr>
          <w:sz w:val="18"/>
          <w:szCs w:val="18"/>
        </w:rPr>
        <w:ptab w:alignment="right" w:relativeTo="margin" w:leader="dot"/>
      </w:r>
      <w:r>
        <w:rPr>
          <w:rFonts w:ascii="Calibri" w:cs="Calibri" w:eastAsia="Calibri" w:hAnsi="Calibri"/>
          <w:color w:val="2E5C8A"/>
          <w:sz w:val="18"/>
          <w:szCs w:val="18"/>
        </w:rPr>
        <w:t xml:space="preserve">Manual pp. 60–61</w:t>
      </w:r>
    </w:p>
    <w:p>
      <w:pPr>
        <w:spacing w:after="80" w:before="60" w:line="260"/>
      </w:pPr>
      <w:r>
        <w:rPr>
          <w:rFonts w:ascii="Calibri" w:cs="Calibri" w:eastAsia="Calibri" w:hAnsi="Calibri"/>
          <w:sz w:val="20"/>
          <w:szCs w:val="20"/>
        </w:rPr>
        <w:t xml:space="preserve">Please describe how your practice handles a disclosure about an adult patient a clinician reasonably believes is a victim of abuse, neglect, or domestic violence, including whether the patient agreed and how the practice promptly informs the patient a report was made. Identify how the exception is applied when informing the patient would risk serious harm or when the personal representative is the suspected abuser.</w:t>
      </w:r>
    </w:p>
    <w:p>
      <w:pPr>
        <w:pStyle w:val="ListParagraph"/>
        <w:numPr>
          <w:ilvl w:val="0"/>
          <w:numId w:val="2"/>
        </w:numPr>
        <w:spacing w:after="40" w:line="250"/>
      </w:pPr>
      <w:r>
        <w:rPr>
          <w:rFonts w:ascii="Calibri" w:cs="Calibri" w:eastAsia="Calibri" w:hAnsi="Calibri"/>
          <w:color w:val="595959"/>
          <w:sz w:val="19"/>
          <w:szCs w:val="19"/>
        </w:rPr>
        <w:t xml:space="preserve">Name the clinician or officer who authorizes the report to the government authority.</w:t>
      </w:r>
    </w:p>
    <w:p>
      <w:pPr>
        <w:pStyle w:val="ListParagraph"/>
        <w:numPr>
          <w:ilvl w:val="0"/>
          <w:numId w:val="2"/>
        </w:numPr>
        <w:spacing w:after="40" w:line="250"/>
      </w:pPr>
      <w:r>
        <w:rPr>
          <w:rFonts w:ascii="Calibri" w:cs="Calibri" w:eastAsia="Calibri" w:hAnsi="Calibri"/>
          <w:color w:val="595959"/>
          <w:sz w:val="19"/>
          <w:szCs w:val="19"/>
        </w:rPr>
        <w:t xml:space="preserve">Describe where the report and the decision whether to inform the patient are documented.</w:t>
      </w:r>
    </w:p>
    <w:p>
      <w:pPr>
        <w:pStyle w:val="ListParagraph"/>
        <w:numPr>
          <w:ilvl w:val="0"/>
          <w:numId w:val="2"/>
        </w:numPr>
        <w:spacing w:after="40" w:line="250"/>
      </w:pPr>
      <w:r>
        <w:rPr>
          <w:rFonts w:ascii="Calibri" w:cs="Calibri" w:eastAsia="Calibri" w:hAnsi="Calibri"/>
          <w:color w:val="595959"/>
          <w:sz w:val="19"/>
          <w:szCs w:val="19"/>
        </w:rPr>
        <w:t xml:space="preserve">State the timeframe for informing the patient and who confirms it happened.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PRV-18  </w:t>
      </w:r>
      <w:r>
        <w:rPr>
          <w:rFonts w:ascii="Calibri" w:cs="Calibri" w:eastAsia="Calibri" w:hAnsi="Calibri"/>
          <w:b/>
          <w:bCs/>
          <w:color w:val="1F3864"/>
          <w:sz w:val="22"/>
          <w:szCs w:val="22"/>
        </w:rPr>
        <w:t xml:space="preserve">Uses and Disclosures for Reproductive Health Information</w:t>
      </w:r>
      <w:r>
        <w:rPr>
          <w:sz w:val="18"/>
          <w:szCs w:val="18"/>
        </w:rPr>
        <w:ptab w:alignment="right" w:relativeTo="margin" w:leader="dot"/>
      </w:r>
      <w:r>
        <w:rPr>
          <w:rFonts w:ascii="Calibri" w:cs="Calibri" w:eastAsia="Calibri" w:hAnsi="Calibri"/>
          <w:color w:val="2E5C8A"/>
          <w:sz w:val="18"/>
          <w:szCs w:val="18"/>
        </w:rPr>
        <w:t xml:space="preserve">Manual pp. 63–66</w:t>
      </w:r>
    </w:p>
    <w:p>
      <w:pPr>
        <w:spacing w:after="80" w:before="60" w:line="260"/>
      </w:pPr>
      <w:r>
        <w:rPr>
          <w:rFonts w:ascii="Calibri" w:cs="Calibri" w:eastAsia="Calibri" w:hAnsi="Calibri"/>
          <w:sz w:val="20"/>
          <w:szCs w:val="20"/>
        </w:rPr>
        <w:t xml:space="preserve">Please describe how your practice screens any request touching reproductive health care and obtains a signed, dated written attestation before releasing anything for health oversight activities, a judicial or administrative proceeding, law enforcement, or a coroner or medical examiner. Identify who confirms the care was lawful where and when it was provided, and what happens when an attestation is refused or incomplete.</w:t>
      </w:r>
    </w:p>
    <w:p>
      <w:pPr>
        <w:pStyle w:val="ListParagraph"/>
        <w:numPr>
          <w:ilvl w:val="0"/>
          <w:numId w:val="2"/>
        </w:numPr>
        <w:spacing w:after="40" w:line="250"/>
      </w:pPr>
      <w:r>
        <w:rPr>
          <w:rFonts w:ascii="Calibri" w:cs="Calibri" w:eastAsia="Calibri" w:hAnsi="Calibri"/>
          <w:color w:val="595959"/>
          <w:sz w:val="19"/>
          <w:szCs w:val="19"/>
        </w:rPr>
        <w:t xml:space="preserve">Name the officer or counsel who reviews every reproductive health related request.</w:t>
      </w:r>
    </w:p>
    <w:p>
      <w:pPr>
        <w:pStyle w:val="ListParagraph"/>
        <w:numPr>
          <w:ilvl w:val="0"/>
          <w:numId w:val="2"/>
        </w:numPr>
        <w:spacing w:after="40" w:line="250"/>
      </w:pPr>
      <w:r>
        <w:rPr>
          <w:rFonts w:ascii="Calibri" w:cs="Calibri" w:eastAsia="Calibri" w:hAnsi="Calibri"/>
          <w:color w:val="595959"/>
          <w:sz w:val="19"/>
          <w:szCs w:val="19"/>
        </w:rPr>
        <w:t xml:space="preserve">Identify the attestation form used and where it is filed with the request.</w:t>
      </w:r>
    </w:p>
    <w:p>
      <w:pPr>
        <w:pStyle w:val="ListParagraph"/>
        <w:numPr>
          <w:ilvl w:val="0"/>
          <w:numId w:val="2"/>
        </w:numPr>
        <w:spacing w:after="40" w:line="250"/>
      </w:pPr>
      <w:r>
        <w:rPr>
          <w:rFonts w:ascii="Calibri" w:cs="Calibri" w:eastAsia="Calibri" w:hAnsi="Calibri"/>
          <w:color w:val="595959"/>
          <w:sz w:val="19"/>
          <w:szCs w:val="19"/>
        </w:rPr>
        <w:t xml:space="preserve">Describe how the lawfulness review and minimum necessary limits are documented.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PRV-19  </w:t>
      </w:r>
      <w:r>
        <w:rPr>
          <w:rFonts w:ascii="Calibri" w:cs="Calibri" w:eastAsia="Calibri" w:hAnsi="Calibri"/>
          <w:b/>
          <w:bCs/>
          <w:color w:val="1F3864"/>
          <w:sz w:val="22"/>
          <w:szCs w:val="22"/>
        </w:rPr>
        <w:t xml:space="preserve">Uses and Disclosures for Health Oversight Activities</w:t>
      </w:r>
      <w:r>
        <w:rPr>
          <w:sz w:val="18"/>
          <w:szCs w:val="18"/>
        </w:rPr>
        <w:ptab w:alignment="right" w:relativeTo="margin" w:leader="dot"/>
      </w:r>
      <w:r>
        <w:rPr>
          <w:rFonts w:ascii="Calibri" w:cs="Calibri" w:eastAsia="Calibri" w:hAnsi="Calibri"/>
          <w:color w:val="2E5C8A"/>
          <w:sz w:val="18"/>
          <w:szCs w:val="18"/>
        </w:rPr>
        <w:t xml:space="preserve">Manual pp. 67–68</w:t>
      </w:r>
    </w:p>
    <w:p>
      <w:pPr>
        <w:spacing w:after="80" w:before="60" w:line="260"/>
      </w:pPr>
      <w:r>
        <w:rPr>
          <w:rFonts w:ascii="Calibri" w:cs="Calibri" w:eastAsia="Calibri" w:hAnsi="Calibri"/>
          <w:sz w:val="20"/>
          <w:szCs w:val="20"/>
        </w:rPr>
        <w:t xml:space="preserve">Please describe how your practice responds to a health oversight agency conducting an audit, licensure inspection, disciplinary action, or civil or criminal investigation, including how staff distinguish genuine oversight from an investigation in which the patient personally is the subject. Identify who receives the agency on site or in writing, who assembles the records, and what is turned over.</w:t>
      </w:r>
    </w:p>
    <w:p>
      <w:pPr>
        <w:pStyle w:val="ListParagraph"/>
        <w:numPr>
          <w:ilvl w:val="0"/>
          <w:numId w:val="2"/>
        </w:numPr>
        <w:spacing w:after="40" w:line="250"/>
      </w:pPr>
      <w:r>
        <w:rPr>
          <w:rFonts w:ascii="Calibri" w:cs="Calibri" w:eastAsia="Calibri" w:hAnsi="Calibri"/>
          <w:color w:val="595959"/>
          <w:sz w:val="19"/>
          <w:szCs w:val="19"/>
        </w:rPr>
        <w:t xml:space="preserve">Name the role that meets an inspector and authorizes production of records.</w:t>
      </w:r>
    </w:p>
    <w:p>
      <w:pPr>
        <w:pStyle w:val="ListParagraph"/>
        <w:numPr>
          <w:ilvl w:val="0"/>
          <w:numId w:val="2"/>
        </w:numPr>
        <w:spacing w:after="40" w:line="250"/>
      </w:pPr>
      <w:r>
        <w:rPr>
          <w:rFonts w:ascii="Calibri" w:cs="Calibri" w:eastAsia="Calibri" w:hAnsi="Calibri"/>
          <w:color w:val="595959"/>
          <w:sz w:val="19"/>
          <w:szCs w:val="19"/>
        </w:rPr>
        <w:t xml:space="preserve">Describe how records provided to the agency are copied, itemized, and retained.</w:t>
      </w:r>
    </w:p>
    <w:p>
      <w:pPr>
        <w:pStyle w:val="ListParagraph"/>
        <w:numPr>
          <w:ilvl w:val="0"/>
          <w:numId w:val="2"/>
        </w:numPr>
        <w:spacing w:after="40" w:line="250"/>
      </w:pPr>
      <w:r>
        <w:rPr>
          <w:rFonts w:ascii="Calibri" w:cs="Calibri" w:eastAsia="Calibri" w:hAnsi="Calibri"/>
          <w:color w:val="595959"/>
          <w:sz w:val="19"/>
          <w:szCs w:val="19"/>
        </w:rPr>
        <w:t xml:space="preserve">State the production timeframe and who confirms the agency's legal authority.</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PRV-20  </w:t>
      </w:r>
      <w:r>
        <w:rPr>
          <w:rFonts w:ascii="Calibri" w:cs="Calibri" w:eastAsia="Calibri" w:hAnsi="Calibri"/>
          <w:b/>
          <w:bCs/>
          <w:color w:val="1F3864"/>
          <w:sz w:val="22"/>
          <w:szCs w:val="22"/>
        </w:rPr>
        <w:t xml:space="preserve">Uses and Disclosures for Cadaveric Organ, Eye or Tissue Donation Purposes</w:t>
      </w:r>
      <w:r>
        <w:rPr>
          <w:sz w:val="18"/>
          <w:szCs w:val="18"/>
        </w:rPr>
        <w:ptab w:alignment="right" w:relativeTo="margin" w:leader="dot"/>
      </w:r>
      <w:r>
        <w:rPr>
          <w:rFonts w:ascii="Calibri" w:cs="Calibri" w:eastAsia="Calibri" w:hAnsi="Calibri"/>
          <w:color w:val="2E5C8A"/>
          <w:sz w:val="18"/>
          <w:szCs w:val="18"/>
        </w:rPr>
        <w:t xml:space="preserve">Manual pp. 70–71</w:t>
      </w:r>
    </w:p>
    <w:p>
      <w:pPr>
        <w:spacing w:after="80" w:before="60" w:line="260"/>
      </w:pPr>
      <w:r>
        <w:rPr>
          <w:rFonts w:ascii="Calibri" w:cs="Calibri" w:eastAsia="Calibri" w:hAnsi="Calibri"/>
          <w:sz w:val="20"/>
          <w:szCs w:val="20"/>
        </w:rPr>
        <w:t xml:space="preserve">Please describe how your practice interacts with organ procurement organizations, eye banks, and tissue banks, including how and when a death or imminent death is referred and what information accompanies the referral. Identify who makes the referral call and who releases the chart information the procurement organization needs to evaluate donation.</w:t>
      </w:r>
    </w:p>
    <w:p>
      <w:pPr>
        <w:pStyle w:val="ListParagraph"/>
        <w:numPr>
          <w:ilvl w:val="0"/>
          <w:numId w:val="2"/>
        </w:numPr>
        <w:spacing w:after="40" w:line="250"/>
      </w:pPr>
      <w:r>
        <w:rPr>
          <w:rFonts w:ascii="Calibri" w:cs="Calibri" w:eastAsia="Calibri" w:hAnsi="Calibri"/>
          <w:color w:val="595959"/>
          <w:sz w:val="19"/>
          <w:szCs w:val="19"/>
        </w:rPr>
        <w:t xml:space="preserve">Name the role that makes the referral to the procurement organization.</w:t>
      </w:r>
    </w:p>
    <w:p>
      <w:pPr>
        <w:pStyle w:val="ListParagraph"/>
        <w:numPr>
          <w:ilvl w:val="0"/>
          <w:numId w:val="2"/>
        </w:numPr>
        <w:spacing w:after="40" w:line="250"/>
      </w:pPr>
      <w:r>
        <w:rPr>
          <w:rFonts w:ascii="Calibri" w:cs="Calibri" w:eastAsia="Calibri" w:hAnsi="Calibri"/>
          <w:color w:val="595959"/>
          <w:sz w:val="19"/>
          <w:szCs w:val="19"/>
        </w:rPr>
        <w:t xml:space="preserve">Identify the referral log or chart note where the contact is recorded.</w:t>
      </w:r>
    </w:p>
    <w:p>
      <w:pPr>
        <w:pStyle w:val="ListParagraph"/>
        <w:numPr>
          <w:ilvl w:val="0"/>
          <w:numId w:val="2"/>
        </w:numPr>
        <w:spacing w:after="40" w:line="250"/>
      </w:pPr>
      <w:r>
        <w:rPr>
          <w:rFonts w:ascii="Calibri" w:cs="Calibri" w:eastAsia="Calibri" w:hAnsi="Calibri"/>
          <w:color w:val="595959"/>
          <w:sz w:val="19"/>
          <w:szCs w:val="19"/>
        </w:rPr>
        <w:t xml:space="preserve">State the timeframe for referral after a death is identified.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PRV-21  </w:t>
      </w:r>
      <w:r>
        <w:rPr>
          <w:rFonts w:ascii="Calibri" w:cs="Calibri" w:eastAsia="Calibri" w:hAnsi="Calibri"/>
          <w:b/>
          <w:bCs/>
          <w:color w:val="1F3864"/>
          <w:sz w:val="22"/>
          <w:szCs w:val="22"/>
        </w:rPr>
        <w:t xml:space="preserve">Uses and Disclosures for Research Purposes</w:t>
      </w:r>
      <w:r>
        <w:rPr>
          <w:sz w:val="18"/>
          <w:szCs w:val="18"/>
        </w:rPr>
        <w:ptab w:alignment="right" w:relativeTo="margin" w:leader="dot"/>
      </w:r>
      <w:r>
        <w:rPr>
          <w:rFonts w:ascii="Calibri" w:cs="Calibri" w:eastAsia="Calibri" w:hAnsi="Calibri"/>
          <w:color w:val="2E5C8A"/>
          <w:sz w:val="18"/>
          <w:szCs w:val="18"/>
        </w:rPr>
        <w:t xml:space="preserve">Manual pp. 72–75</w:t>
      </w:r>
    </w:p>
    <w:p>
      <w:pPr>
        <w:spacing w:after="80" w:before="60" w:line="260"/>
      </w:pPr>
      <w:r>
        <w:rPr>
          <w:rFonts w:ascii="Calibri" w:cs="Calibri" w:eastAsia="Calibri" w:hAnsi="Calibri"/>
          <w:sz w:val="20"/>
          <w:szCs w:val="20"/>
        </w:rPr>
        <w:t xml:space="preserve">Please describe how your practice handles research requests for patient information, covering studies with a signed authorization, studies operating under an approved waiver from an institutional review board or privacy board, reviews preparatory to research where nothing leaves the practice, and research limited to decedents. Identify who receives the request and who verifies the waiver documentation is complete and signed.</w:t>
      </w:r>
    </w:p>
    <w:p>
      <w:pPr>
        <w:pStyle w:val="ListParagraph"/>
        <w:numPr>
          <w:ilvl w:val="0"/>
          <w:numId w:val="2"/>
        </w:numPr>
        <w:spacing w:after="40" w:line="250"/>
      </w:pPr>
      <w:r>
        <w:rPr>
          <w:rFonts w:ascii="Calibri" w:cs="Calibri" w:eastAsia="Calibri" w:hAnsi="Calibri"/>
          <w:color w:val="595959"/>
          <w:sz w:val="19"/>
          <w:szCs w:val="19"/>
        </w:rPr>
        <w:t xml:space="preserve">Name the role that reviews review board or privacy board waiver documentation.</w:t>
      </w:r>
    </w:p>
    <w:p>
      <w:pPr>
        <w:pStyle w:val="ListParagraph"/>
        <w:numPr>
          <w:ilvl w:val="0"/>
          <w:numId w:val="2"/>
        </w:numPr>
        <w:spacing w:after="40" w:line="250"/>
      </w:pPr>
      <w:r>
        <w:rPr>
          <w:rFonts w:ascii="Calibri" w:cs="Calibri" w:eastAsia="Calibri" w:hAnsi="Calibri"/>
          <w:color w:val="595959"/>
          <w:sz w:val="19"/>
          <w:szCs w:val="19"/>
        </w:rPr>
        <w:t xml:space="preserve">Describe the researcher representations collected for preparatory and decedent research.</w:t>
      </w:r>
    </w:p>
    <w:p>
      <w:pPr>
        <w:pStyle w:val="ListParagraph"/>
        <w:numPr>
          <w:ilvl w:val="0"/>
          <w:numId w:val="2"/>
        </w:numPr>
        <w:spacing w:after="40" w:line="250"/>
      </w:pPr>
      <w:r>
        <w:rPr>
          <w:rFonts w:ascii="Calibri" w:cs="Calibri" w:eastAsia="Calibri" w:hAnsi="Calibri"/>
          <w:color w:val="595959"/>
          <w:sz w:val="19"/>
          <w:szCs w:val="19"/>
        </w:rPr>
        <w:t xml:space="preserve">Identify where approved protocols, waivers, and data releases are filed.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PRV-22  </w:t>
      </w:r>
      <w:r>
        <w:rPr>
          <w:rFonts w:ascii="Calibri" w:cs="Calibri" w:eastAsia="Calibri" w:hAnsi="Calibri"/>
          <w:b/>
          <w:bCs/>
          <w:color w:val="1F3864"/>
          <w:sz w:val="22"/>
          <w:szCs w:val="22"/>
        </w:rPr>
        <w:t xml:space="preserve">Uses and Disclosures to Avert a Serious Threat to Health or Safety</w:t>
      </w:r>
      <w:r>
        <w:rPr>
          <w:sz w:val="18"/>
          <w:szCs w:val="18"/>
        </w:rPr>
        <w:ptab w:alignment="right" w:relativeTo="margin" w:leader="dot"/>
      </w:r>
      <w:r>
        <w:rPr>
          <w:rFonts w:ascii="Calibri" w:cs="Calibri" w:eastAsia="Calibri" w:hAnsi="Calibri"/>
          <w:color w:val="2E5C8A"/>
          <w:sz w:val="18"/>
          <w:szCs w:val="18"/>
        </w:rPr>
        <w:t xml:space="preserve">Manual pp. 76–79</w:t>
      </w:r>
    </w:p>
    <w:p>
      <w:pPr>
        <w:spacing w:after="80" w:before="60" w:line="260"/>
      </w:pPr>
      <w:r>
        <w:rPr>
          <w:rFonts w:ascii="Calibri" w:cs="Calibri" w:eastAsia="Calibri" w:hAnsi="Calibri"/>
          <w:sz w:val="20"/>
          <w:szCs w:val="20"/>
        </w:rPr>
        <w:t xml:space="preserve">Please describe what your practice does when a clinician forms a good faith belief that a patient presents a serious and imminent threat to another person or to themselves, including who may be warned and how much may be said. Identify the clinician who makes the judgment, who else is notified inside the practice, and how a warning to an identified person or to law enforcement is delivered and recorded.</w:t>
      </w:r>
    </w:p>
    <w:p>
      <w:pPr>
        <w:pStyle w:val="ListParagraph"/>
        <w:numPr>
          <w:ilvl w:val="0"/>
          <w:numId w:val="2"/>
        </w:numPr>
        <w:spacing w:after="40" w:line="250"/>
      </w:pPr>
      <w:r>
        <w:rPr>
          <w:rFonts w:ascii="Calibri" w:cs="Calibri" w:eastAsia="Calibri" w:hAnsi="Calibri"/>
          <w:color w:val="595959"/>
          <w:sz w:val="19"/>
          <w:szCs w:val="19"/>
        </w:rPr>
        <w:t xml:space="preserve">Name the licensed clinician authorized to make the good faith threat determination.</w:t>
      </w:r>
    </w:p>
    <w:p>
      <w:pPr>
        <w:pStyle w:val="ListParagraph"/>
        <w:numPr>
          <w:ilvl w:val="0"/>
          <w:numId w:val="2"/>
        </w:numPr>
        <w:spacing w:after="40" w:line="250"/>
      </w:pPr>
      <w:r>
        <w:rPr>
          <w:rFonts w:ascii="Calibri" w:cs="Calibri" w:eastAsia="Calibri" w:hAnsi="Calibri"/>
          <w:color w:val="595959"/>
          <w:sz w:val="19"/>
          <w:szCs w:val="19"/>
        </w:rPr>
        <w:t xml:space="preserve">Describe who is notified internally before any outside warning is given.</w:t>
      </w:r>
    </w:p>
    <w:p>
      <w:pPr>
        <w:pStyle w:val="ListParagraph"/>
        <w:numPr>
          <w:ilvl w:val="0"/>
          <w:numId w:val="2"/>
        </w:numPr>
        <w:spacing w:after="40" w:line="250"/>
      </w:pPr>
      <w:r>
        <w:rPr>
          <w:rFonts w:ascii="Calibri" w:cs="Calibri" w:eastAsia="Calibri" w:hAnsi="Calibri"/>
          <w:color w:val="595959"/>
          <w:sz w:val="19"/>
          <w:szCs w:val="19"/>
        </w:rPr>
        <w:t xml:space="preserve">State where the warning, its recipient, and the reasoning are documented.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PRV-23  </w:t>
      </w:r>
      <w:r>
        <w:rPr>
          <w:rFonts w:ascii="Calibri" w:cs="Calibri" w:eastAsia="Calibri" w:hAnsi="Calibri"/>
          <w:b/>
          <w:bCs/>
          <w:color w:val="1F3864"/>
          <w:sz w:val="22"/>
          <w:szCs w:val="22"/>
        </w:rPr>
        <w:t xml:space="preserve">Uses and Disclosures for Specialized Government Functions</w:t>
      </w:r>
      <w:r>
        <w:rPr>
          <w:sz w:val="18"/>
          <w:szCs w:val="18"/>
        </w:rPr>
        <w:ptab w:alignment="right" w:relativeTo="margin" w:leader="dot"/>
      </w:r>
      <w:r>
        <w:rPr>
          <w:rFonts w:ascii="Calibri" w:cs="Calibri" w:eastAsia="Calibri" w:hAnsi="Calibri"/>
          <w:color w:val="2E5C8A"/>
          <w:sz w:val="18"/>
          <w:szCs w:val="18"/>
        </w:rPr>
        <w:t xml:space="preserve">Manual pp. 80–83</w:t>
      </w:r>
    </w:p>
    <w:p>
      <w:pPr>
        <w:spacing w:after="80" w:before="60" w:line="260"/>
      </w:pPr>
      <w:r>
        <w:rPr>
          <w:rFonts w:ascii="Calibri" w:cs="Calibri" w:eastAsia="Calibri" w:hAnsi="Calibri"/>
          <w:sz w:val="20"/>
          <w:szCs w:val="20"/>
        </w:rPr>
        <w:t xml:space="preserve">Please describe how your practice handles the specialized government requests in this policy - records sought by military command authorities or the Department of Veterans Affairs, national security or protective service requests from federal officials, and requests from a correctional institution or a law enforcement officer with lawful custody of a patient. Identify who verifies federal or custodial authority before any release.</w:t>
      </w:r>
    </w:p>
    <w:p>
      <w:pPr>
        <w:pStyle w:val="ListParagraph"/>
        <w:numPr>
          <w:ilvl w:val="0"/>
          <w:numId w:val="2"/>
        </w:numPr>
        <w:spacing w:after="40" w:line="250"/>
      </w:pPr>
      <w:r>
        <w:rPr>
          <w:rFonts w:ascii="Calibri" w:cs="Calibri" w:eastAsia="Calibri" w:hAnsi="Calibri"/>
          <w:color w:val="595959"/>
          <w:sz w:val="19"/>
          <w:szCs w:val="19"/>
        </w:rPr>
        <w:t xml:space="preserve">Name the role authorized to release records to a correctional facility or federal official.</w:t>
      </w:r>
    </w:p>
    <w:p>
      <w:pPr>
        <w:pStyle w:val="ListParagraph"/>
        <w:numPr>
          <w:ilvl w:val="0"/>
          <w:numId w:val="2"/>
        </w:numPr>
        <w:spacing w:after="40" w:line="250"/>
      </w:pPr>
      <w:r>
        <w:rPr>
          <w:rFonts w:ascii="Calibri" w:cs="Calibri" w:eastAsia="Calibri" w:hAnsi="Calibri"/>
          <w:color w:val="595959"/>
          <w:sz w:val="19"/>
          <w:szCs w:val="19"/>
        </w:rPr>
        <w:t xml:space="preserve">Describe how credentials or the custody representation are verified and copied.</w:t>
      </w:r>
    </w:p>
    <w:p>
      <w:pPr>
        <w:pStyle w:val="ListParagraph"/>
        <w:numPr>
          <w:ilvl w:val="0"/>
          <w:numId w:val="2"/>
        </w:numPr>
        <w:spacing w:after="40" w:line="250"/>
      </w:pPr>
      <w:r>
        <w:rPr>
          <w:rFonts w:ascii="Calibri" w:cs="Calibri" w:eastAsia="Calibri" w:hAnsi="Calibri"/>
          <w:color w:val="595959"/>
          <w:sz w:val="19"/>
          <w:szCs w:val="19"/>
        </w:rPr>
        <w:t xml:space="preserve">State how releases stop once an individual is released from lawful custody.</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PRV-24  </w:t>
      </w:r>
      <w:r>
        <w:rPr>
          <w:rFonts w:ascii="Calibri" w:cs="Calibri" w:eastAsia="Calibri" w:hAnsi="Calibri"/>
          <w:b/>
          <w:bCs/>
          <w:color w:val="1F3864"/>
          <w:sz w:val="22"/>
          <w:szCs w:val="22"/>
        </w:rPr>
        <w:t xml:space="preserve">Disclosures for Workers’ Compensation</w:t>
      </w:r>
      <w:r>
        <w:rPr>
          <w:sz w:val="18"/>
          <w:szCs w:val="18"/>
        </w:rPr>
        <w:ptab w:alignment="right" w:relativeTo="margin" w:leader="dot"/>
      </w:r>
      <w:r>
        <w:rPr>
          <w:rFonts w:ascii="Calibri" w:cs="Calibri" w:eastAsia="Calibri" w:hAnsi="Calibri"/>
          <w:color w:val="2E5C8A"/>
          <w:sz w:val="18"/>
          <w:szCs w:val="18"/>
        </w:rPr>
        <w:t xml:space="preserve">Manual pp. 84–85</w:t>
      </w:r>
    </w:p>
    <w:p>
      <w:pPr>
        <w:spacing w:after="80" w:before="60" w:line="260"/>
      </w:pPr>
      <w:r>
        <w:rPr>
          <w:rFonts w:ascii="Calibri" w:cs="Calibri" w:eastAsia="Calibri" w:hAnsi="Calibri"/>
          <w:sz w:val="20"/>
          <w:szCs w:val="20"/>
        </w:rPr>
        <w:t xml:space="preserve">Please describe your practice's workflow for releasing records in a workers' compensation matter, from the initial injury visit through requests by the employer, the compensation carrier, the state board, and claimant or defense counsel. Identify who determines which portions of the record relate to the work injury and what is withheld as unrelated history.</w:t>
      </w:r>
    </w:p>
    <w:p>
      <w:pPr>
        <w:pStyle w:val="ListParagraph"/>
        <w:numPr>
          <w:ilvl w:val="0"/>
          <w:numId w:val="2"/>
        </w:numPr>
        <w:spacing w:after="40" w:line="250"/>
      </w:pPr>
      <w:r>
        <w:rPr>
          <w:rFonts w:ascii="Calibri" w:cs="Calibri" w:eastAsia="Calibri" w:hAnsi="Calibri"/>
          <w:color w:val="595959"/>
          <w:sz w:val="19"/>
          <w:szCs w:val="19"/>
        </w:rPr>
        <w:t xml:space="preserve">Name the staff member who fulfills workers' compensation record requests.</w:t>
      </w:r>
    </w:p>
    <w:p>
      <w:pPr>
        <w:pStyle w:val="ListParagraph"/>
        <w:numPr>
          <w:ilvl w:val="0"/>
          <w:numId w:val="2"/>
        </w:numPr>
        <w:spacing w:after="40" w:line="250"/>
      </w:pPr>
      <w:r>
        <w:rPr>
          <w:rFonts w:ascii="Calibri" w:cs="Calibri" w:eastAsia="Calibri" w:hAnsi="Calibri"/>
          <w:color w:val="595959"/>
          <w:sz w:val="19"/>
          <w:szCs w:val="19"/>
        </w:rPr>
        <w:t xml:space="preserve">Describe how injury-related records are separated from unrelated medical history.</w:t>
      </w:r>
    </w:p>
    <w:p>
      <w:pPr>
        <w:pStyle w:val="ListParagraph"/>
        <w:numPr>
          <w:ilvl w:val="0"/>
          <w:numId w:val="2"/>
        </w:numPr>
        <w:spacing w:after="40" w:line="250"/>
      </w:pPr>
      <w:r>
        <w:rPr>
          <w:rFonts w:ascii="Calibri" w:cs="Calibri" w:eastAsia="Calibri" w:hAnsi="Calibri"/>
          <w:color w:val="595959"/>
          <w:sz w:val="19"/>
          <w:szCs w:val="19"/>
        </w:rPr>
        <w:t xml:space="preserve">State the turnaround time and where each release is logged.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PRV-25  </w:t>
      </w:r>
      <w:r>
        <w:rPr>
          <w:rFonts w:ascii="Calibri" w:cs="Calibri" w:eastAsia="Calibri" w:hAnsi="Calibri"/>
          <w:b/>
          <w:bCs/>
          <w:color w:val="1F3864"/>
          <w:sz w:val="22"/>
          <w:szCs w:val="22"/>
        </w:rPr>
        <w:t xml:space="preserve">De-identification of Protected Health Information</w:t>
      </w:r>
      <w:r>
        <w:rPr>
          <w:sz w:val="18"/>
          <w:szCs w:val="18"/>
        </w:rPr>
        <w:ptab w:alignment="right" w:relativeTo="margin" w:leader="dot"/>
      </w:r>
      <w:r>
        <w:rPr>
          <w:rFonts w:ascii="Calibri" w:cs="Calibri" w:eastAsia="Calibri" w:hAnsi="Calibri"/>
          <w:color w:val="2E5C8A"/>
          <w:sz w:val="18"/>
          <w:szCs w:val="18"/>
        </w:rPr>
        <w:t xml:space="preserve">Manual pp. 86–88</w:t>
      </w:r>
    </w:p>
    <w:p>
      <w:pPr>
        <w:spacing w:after="80" w:before="60" w:line="260"/>
      </w:pPr>
      <w:r>
        <w:rPr>
          <w:rFonts w:ascii="Calibri" w:cs="Calibri" w:eastAsia="Calibri" w:hAnsi="Calibri"/>
          <w:sz w:val="20"/>
          <w:szCs w:val="20"/>
        </w:rPr>
        <w:t xml:space="preserve">Please describe how your practice strips identifiers before sharing patient data for reporting, quality benchmarking, or vendor analytics, and whether it relies on removing the listed identifiers itself or on a qualified expert's documented determination. Identify who performs the removal, who checks the result, and how any re-identification code is generated and kept separate.</w:t>
      </w:r>
    </w:p>
    <w:p>
      <w:pPr>
        <w:pStyle w:val="ListParagraph"/>
        <w:numPr>
          <w:ilvl w:val="0"/>
          <w:numId w:val="2"/>
        </w:numPr>
        <w:spacing w:after="40" w:line="250"/>
      </w:pPr>
      <w:r>
        <w:rPr>
          <w:rFonts w:ascii="Calibri" w:cs="Calibri" w:eastAsia="Calibri" w:hAnsi="Calibri"/>
          <w:color w:val="595959"/>
          <w:sz w:val="19"/>
          <w:szCs w:val="19"/>
        </w:rPr>
        <w:t xml:space="preserve">Name the role that prepares and the role that reviews a de-identified extract.</w:t>
      </w:r>
    </w:p>
    <w:p>
      <w:pPr>
        <w:pStyle w:val="ListParagraph"/>
        <w:numPr>
          <w:ilvl w:val="0"/>
          <w:numId w:val="2"/>
        </w:numPr>
        <w:spacing w:after="40" w:line="250"/>
      </w:pPr>
      <w:r>
        <w:rPr>
          <w:rFonts w:ascii="Calibri" w:cs="Calibri" w:eastAsia="Calibri" w:hAnsi="Calibri"/>
          <w:color w:val="595959"/>
          <w:sz w:val="19"/>
          <w:szCs w:val="19"/>
        </w:rPr>
        <w:t xml:space="preserve">Identify the checklist or script used to strip every listed identifier.</w:t>
      </w:r>
    </w:p>
    <w:p>
      <w:pPr>
        <w:pStyle w:val="ListParagraph"/>
        <w:numPr>
          <w:ilvl w:val="0"/>
          <w:numId w:val="2"/>
        </w:numPr>
        <w:spacing w:after="40" w:line="250"/>
      </w:pPr>
      <w:r>
        <w:rPr>
          <w:rFonts w:ascii="Calibri" w:cs="Calibri" w:eastAsia="Calibri" w:hAnsi="Calibri"/>
          <w:color w:val="595959"/>
          <w:sz w:val="19"/>
          <w:szCs w:val="19"/>
        </w:rPr>
        <w:t xml:space="preserve">Describe where a re-identification key is stored and who may access it.</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PRV-26  </w:t>
      </w:r>
      <w:r>
        <w:rPr>
          <w:rFonts w:ascii="Calibri" w:cs="Calibri" w:eastAsia="Calibri" w:hAnsi="Calibri"/>
          <w:b/>
          <w:bCs/>
          <w:color w:val="1F3864"/>
          <w:sz w:val="22"/>
          <w:szCs w:val="22"/>
        </w:rPr>
        <w:t xml:space="preserve">Minimum Necessary Requirements</w:t>
      </w:r>
      <w:r>
        <w:rPr>
          <w:sz w:val="18"/>
          <w:szCs w:val="18"/>
        </w:rPr>
        <w:ptab w:alignment="right" w:relativeTo="margin" w:leader="dot"/>
      </w:r>
      <w:r>
        <w:rPr>
          <w:rFonts w:ascii="Calibri" w:cs="Calibri" w:eastAsia="Calibri" w:hAnsi="Calibri"/>
          <w:color w:val="2E5C8A"/>
          <w:sz w:val="18"/>
          <w:szCs w:val="18"/>
        </w:rPr>
        <w:t xml:space="preserve">Manual pp. 89–91</w:t>
      </w:r>
    </w:p>
    <w:p>
      <w:pPr>
        <w:spacing w:after="80" w:before="60" w:line="260"/>
      </w:pPr>
      <w:r>
        <w:rPr>
          <w:rFonts w:ascii="Calibri" w:cs="Calibri" w:eastAsia="Calibri" w:hAnsi="Calibri"/>
          <w:sz w:val="20"/>
          <w:szCs w:val="20"/>
        </w:rPr>
        <w:t xml:space="preserve">Please document the role-based access design your practice uses to meet this policy: each job class that needs patient information, the categories of information each class may reach, and any conditions on that access. Also describe the standard protocols governing routine, recurring disclosures and the criteria used to review a non-routine request individually.</w:t>
      </w:r>
    </w:p>
    <w:p>
      <w:pPr>
        <w:pStyle w:val="ListParagraph"/>
        <w:numPr>
          <w:ilvl w:val="0"/>
          <w:numId w:val="2"/>
        </w:numPr>
        <w:spacing w:after="40" w:line="250"/>
      </w:pPr>
      <w:r>
        <w:rPr>
          <w:rFonts w:ascii="Calibri" w:cs="Calibri" w:eastAsia="Calibri" w:hAnsi="Calibri"/>
          <w:color w:val="595959"/>
          <w:sz w:val="19"/>
          <w:szCs w:val="19"/>
        </w:rPr>
        <w:t xml:space="preserve">Provide the list of job classes and the record categories each may access.</w:t>
      </w:r>
    </w:p>
    <w:p>
      <w:pPr>
        <w:pStyle w:val="ListParagraph"/>
        <w:numPr>
          <w:ilvl w:val="0"/>
          <w:numId w:val="2"/>
        </w:numPr>
        <w:spacing w:after="40" w:line="250"/>
      </w:pPr>
      <w:r>
        <w:rPr>
          <w:rFonts w:ascii="Calibri" w:cs="Calibri" w:eastAsia="Calibri" w:hAnsi="Calibri"/>
          <w:color w:val="595959"/>
          <w:sz w:val="19"/>
          <w:szCs w:val="19"/>
        </w:rPr>
        <w:t xml:space="preserve">Identify the standard protocols covering routine disclosures such as referrals and claims.</w:t>
      </w:r>
    </w:p>
    <w:p>
      <w:pPr>
        <w:pStyle w:val="ListParagraph"/>
        <w:numPr>
          <w:ilvl w:val="0"/>
          <w:numId w:val="2"/>
        </w:numPr>
        <w:spacing w:after="40" w:line="250"/>
      </w:pPr>
      <w:r>
        <w:rPr>
          <w:rFonts w:ascii="Calibri" w:cs="Calibri" w:eastAsia="Calibri" w:hAnsi="Calibri"/>
          <w:color w:val="595959"/>
          <w:sz w:val="19"/>
          <w:szCs w:val="19"/>
        </w:rPr>
        <w:t xml:space="preserve">Describe when an entire medical record is released and who justifies it.</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PRV-27  </w:t>
      </w:r>
      <w:r>
        <w:rPr>
          <w:rFonts w:ascii="Calibri" w:cs="Calibri" w:eastAsia="Calibri" w:hAnsi="Calibri"/>
          <w:b/>
          <w:bCs/>
          <w:color w:val="1F3864"/>
          <w:sz w:val="22"/>
          <w:szCs w:val="22"/>
        </w:rPr>
        <w:t xml:space="preserve">Limited Data Set</w:t>
      </w:r>
      <w:r>
        <w:rPr>
          <w:sz w:val="18"/>
          <w:szCs w:val="18"/>
        </w:rPr>
        <w:ptab w:alignment="right" w:relativeTo="margin" w:leader="dot"/>
      </w:r>
      <w:r>
        <w:rPr>
          <w:rFonts w:ascii="Calibri" w:cs="Calibri" w:eastAsia="Calibri" w:hAnsi="Calibri"/>
          <w:color w:val="2E5C8A"/>
          <w:sz w:val="18"/>
          <w:szCs w:val="18"/>
        </w:rPr>
        <w:t xml:space="preserve">Manual pp. 92–94</w:t>
      </w:r>
    </w:p>
    <w:p>
      <w:pPr>
        <w:spacing w:after="80" w:before="60" w:line="260"/>
      </w:pPr>
      <w:r>
        <w:rPr>
          <w:rFonts w:ascii="Calibri" w:cs="Calibri" w:eastAsia="Calibri" w:hAnsi="Calibri"/>
          <w:sz w:val="20"/>
          <w:szCs w:val="20"/>
        </w:rPr>
        <w:t xml:space="preserve">Please describe how your practice builds and releases a limited data set, including which direct identifiers are stripped, which permitted purpose the release supports - research, public health, or health care operations - and how the data use agreement is executed before any data leaves. Identify who prepares the extract and who signs the agreement.</w:t>
      </w:r>
    </w:p>
    <w:p>
      <w:pPr>
        <w:pStyle w:val="ListParagraph"/>
        <w:numPr>
          <w:ilvl w:val="0"/>
          <w:numId w:val="2"/>
        </w:numPr>
        <w:spacing w:after="40" w:line="250"/>
      </w:pPr>
      <w:r>
        <w:rPr>
          <w:rFonts w:ascii="Calibri" w:cs="Calibri" w:eastAsia="Calibri" w:hAnsi="Calibri"/>
          <w:color w:val="595959"/>
          <w:sz w:val="19"/>
          <w:szCs w:val="19"/>
        </w:rPr>
        <w:t xml:space="preserve">Name the role that prepares the extract and the role that signs the agreement.</w:t>
      </w:r>
    </w:p>
    <w:p>
      <w:pPr>
        <w:pStyle w:val="ListParagraph"/>
        <w:numPr>
          <w:ilvl w:val="0"/>
          <w:numId w:val="2"/>
        </w:numPr>
        <w:spacing w:after="40" w:line="250"/>
      </w:pPr>
      <w:r>
        <w:rPr>
          <w:rFonts w:ascii="Calibri" w:cs="Calibri" w:eastAsia="Calibri" w:hAnsi="Calibri"/>
          <w:color w:val="595959"/>
          <w:sz w:val="19"/>
          <w:szCs w:val="19"/>
        </w:rPr>
        <w:t xml:space="preserve">Identify where executed data use agreements and extract specifications are retained.</w:t>
      </w:r>
    </w:p>
    <w:p>
      <w:pPr>
        <w:pStyle w:val="ListParagraph"/>
        <w:numPr>
          <w:ilvl w:val="0"/>
          <w:numId w:val="2"/>
        </w:numPr>
        <w:spacing w:after="40" w:line="250"/>
      </w:pPr>
      <w:r>
        <w:rPr>
          <w:rFonts w:ascii="Calibri" w:cs="Calibri" w:eastAsia="Calibri" w:hAnsi="Calibri"/>
          <w:color w:val="595959"/>
          <w:sz w:val="19"/>
          <w:szCs w:val="19"/>
        </w:rPr>
        <w:t xml:space="preserve">Describe the steps taken when a recipient is found to have violated the agreement.</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PRV-28  </w:t>
      </w:r>
      <w:r>
        <w:rPr>
          <w:rFonts w:ascii="Calibri" w:cs="Calibri" w:eastAsia="Calibri" w:hAnsi="Calibri"/>
          <w:b/>
          <w:bCs/>
          <w:color w:val="1F3864"/>
          <w:sz w:val="22"/>
          <w:szCs w:val="22"/>
        </w:rPr>
        <w:t xml:space="preserve">Fundraising Communications</w:t>
      </w:r>
      <w:r>
        <w:rPr>
          <w:sz w:val="18"/>
          <w:szCs w:val="18"/>
        </w:rPr>
        <w:ptab w:alignment="right" w:relativeTo="margin" w:leader="dot"/>
      </w:r>
      <w:r>
        <w:rPr>
          <w:rFonts w:ascii="Calibri" w:cs="Calibri" w:eastAsia="Calibri" w:hAnsi="Calibri"/>
          <w:color w:val="2E5C8A"/>
          <w:sz w:val="18"/>
          <w:szCs w:val="18"/>
        </w:rPr>
        <w:t xml:space="preserve">Manual pp. 96–97</w:t>
      </w:r>
    </w:p>
    <w:p>
      <w:pPr>
        <w:spacing w:after="80" w:before="60" w:line="260"/>
      </w:pPr>
      <w:r>
        <w:rPr>
          <w:rFonts w:ascii="Calibri" w:cs="Calibri" w:eastAsia="Calibri" w:hAnsi="Calibri"/>
          <w:sz w:val="20"/>
          <w:szCs w:val="20"/>
        </w:rPr>
        <w:t xml:space="preserve">Please describe how your practice conducts any patient fundraising, including which permitted data elements - demographics, dates and department of service, treating physician, outcome, insurance status - are shared with a foundation or vendor, and how a clear opt-out appears in every communication. Identify who maintains the suppression list and how a patient opts back in.</w:t>
      </w:r>
    </w:p>
    <w:p>
      <w:pPr>
        <w:pStyle w:val="ListParagraph"/>
        <w:numPr>
          <w:ilvl w:val="0"/>
          <w:numId w:val="2"/>
        </w:numPr>
        <w:spacing w:after="40" w:line="250"/>
      </w:pPr>
      <w:r>
        <w:rPr>
          <w:rFonts w:ascii="Calibri" w:cs="Calibri" w:eastAsia="Calibri" w:hAnsi="Calibri"/>
          <w:color w:val="595959"/>
          <w:sz w:val="19"/>
          <w:szCs w:val="19"/>
        </w:rPr>
        <w:t xml:space="preserve">Name the role that approves the fundraising list and the data elements shared.</w:t>
      </w:r>
    </w:p>
    <w:p>
      <w:pPr>
        <w:pStyle w:val="ListParagraph"/>
        <w:numPr>
          <w:ilvl w:val="0"/>
          <w:numId w:val="2"/>
        </w:numPr>
        <w:spacing w:after="40" w:line="250"/>
      </w:pPr>
      <w:r>
        <w:rPr>
          <w:rFonts w:ascii="Calibri" w:cs="Calibri" w:eastAsia="Calibri" w:hAnsi="Calibri"/>
          <w:color w:val="595959"/>
          <w:sz w:val="19"/>
          <w:szCs w:val="19"/>
        </w:rPr>
        <w:t xml:space="preserve">Identify the system holding the opt-out suppression list and how it is applied.</w:t>
      </w:r>
    </w:p>
    <w:p>
      <w:pPr>
        <w:pStyle w:val="ListParagraph"/>
        <w:numPr>
          <w:ilvl w:val="0"/>
          <w:numId w:val="2"/>
        </w:numPr>
        <w:spacing w:after="40" w:line="250"/>
      </w:pPr>
      <w:r>
        <w:rPr>
          <w:rFonts w:ascii="Calibri" w:cs="Calibri" w:eastAsia="Calibri" w:hAnsi="Calibri"/>
          <w:color w:val="595959"/>
          <w:sz w:val="19"/>
          <w:szCs w:val="19"/>
        </w:rPr>
        <w:t xml:space="preserve">Describe how the opt-out method avoids cost or burden to the patient.</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PRV-29  </w:t>
      </w:r>
      <w:r>
        <w:rPr>
          <w:rFonts w:ascii="Calibri" w:cs="Calibri" w:eastAsia="Calibri" w:hAnsi="Calibri"/>
          <w:b/>
          <w:bCs/>
          <w:color w:val="1F3864"/>
          <w:sz w:val="22"/>
          <w:szCs w:val="22"/>
        </w:rPr>
        <w:t xml:space="preserve">Uses and Disclosures for Underwriting and Related Purposes</w:t>
      </w:r>
      <w:r>
        <w:rPr>
          <w:sz w:val="18"/>
          <w:szCs w:val="18"/>
        </w:rPr>
        <w:ptab w:alignment="right" w:relativeTo="margin" w:leader="dot"/>
      </w:r>
      <w:r>
        <w:rPr>
          <w:rFonts w:ascii="Calibri" w:cs="Calibri" w:eastAsia="Calibri" w:hAnsi="Calibri"/>
          <w:color w:val="2E5C8A"/>
          <w:sz w:val="18"/>
          <w:szCs w:val="18"/>
        </w:rPr>
        <w:t xml:space="preserve">Manual pp. 99–100</w:t>
      </w:r>
    </w:p>
    <w:p>
      <w:pPr>
        <w:spacing w:after="80" w:before="60" w:line="260"/>
      </w:pPr>
      <w:r>
        <w:rPr>
          <w:rFonts w:ascii="Calibri" w:cs="Calibri" w:eastAsia="Calibri" w:hAnsi="Calibri"/>
          <w:sz w:val="20"/>
          <w:szCs w:val="20"/>
        </w:rPr>
        <w:t xml:space="preserve">Please identify any circumstance in which your practice or an affiliated health plan receives patient information for underwriting, premium rating, or placing a contract of health insurance or health benefits, and describe how that information is quarantined and used only for that purpose when coverage is ultimately not placed. Identify who holds the information and how genetic information is kept out of it.</w:t>
      </w:r>
    </w:p>
    <w:p>
      <w:pPr>
        <w:pStyle w:val="ListParagraph"/>
        <w:numPr>
          <w:ilvl w:val="0"/>
          <w:numId w:val="2"/>
        </w:numPr>
        <w:spacing w:after="40" w:line="250"/>
      </w:pPr>
      <w:r>
        <w:rPr>
          <w:rFonts w:ascii="Calibri" w:cs="Calibri" w:eastAsia="Calibri" w:hAnsi="Calibri"/>
          <w:color w:val="595959"/>
          <w:sz w:val="19"/>
          <w:szCs w:val="19"/>
        </w:rPr>
        <w:t xml:space="preserve">Name the role accountable for information received for underwriting purposes.</w:t>
      </w:r>
    </w:p>
    <w:p>
      <w:pPr>
        <w:pStyle w:val="ListParagraph"/>
        <w:numPr>
          <w:ilvl w:val="0"/>
          <w:numId w:val="2"/>
        </w:numPr>
        <w:spacing w:after="40" w:line="250"/>
      </w:pPr>
      <w:r>
        <w:rPr>
          <w:rFonts w:ascii="Calibri" w:cs="Calibri" w:eastAsia="Calibri" w:hAnsi="Calibri"/>
          <w:color w:val="595959"/>
          <w:sz w:val="19"/>
          <w:szCs w:val="19"/>
        </w:rPr>
        <w:t xml:space="preserve">Describe where that information is stored and how access is restricted.</w:t>
      </w:r>
    </w:p>
    <w:p>
      <w:pPr>
        <w:pStyle w:val="ListParagraph"/>
        <w:numPr>
          <w:ilvl w:val="0"/>
          <w:numId w:val="2"/>
        </w:numPr>
        <w:spacing w:after="40" w:line="250"/>
      </w:pPr>
      <w:r>
        <w:rPr>
          <w:rFonts w:ascii="Calibri" w:cs="Calibri" w:eastAsia="Calibri" w:hAnsi="Calibri"/>
          <w:color w:val="595959"/>
          <w:sz w:val="19"/>
          <w:szCs w:val="19"/>
        </w:rPr>
        <w:t xml:space="preserve">State the retention and disposal steps taken when coverage is not placed.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PRV-30  </w:t>
      </w:r>
      <w:r>
        <w:rPr>
          <w:rFonts w:ascii="Calibri" w:cs="Calibri" w:eastAsia="Calibri" w:hAnsi="Calibri"/>
          <w:b/>
          <w:bCs/>
          <w:color w:val="1F3864"/>
          <w:sz w:val="22"/>
          <w:szCs w:val="22"/>
        </w:rPr>
        <w:t xml:space="preserve">Verification Requirements</w:t>
      </w:r>
      <w:r>
        <w:rPr>
          <w:sz w:val="18"/>
          <w:szCs w:val="18"/>
        </w:rPr>
        <w:ptab w:alignment="right" w:relativeTo="margin" w:leader="dot"/>
      </w:r>
      <w:r>
        <w:rPr>
          <w:rFonts w:ascii="Calibri" w:cs="Calibri" w:eastAsia="Calibri" w:hAnsi="Calibri"/>
          <w:color w:val="2E5C8A"/>
          <w:sz w:val="18"/>
          <w:szCs w:val="18"/>
        </w:rPr>
        <w:t xml:space="preserve">Manual pp. 101–103</w:t>
      </w:r>
    </w:p>
    <w:p>
      <w:pPr>
        <w:spacing w:after="80" w:before="60" w:line="260"/>
      </w:pPr>
      <w:r>
        <w:rPr>
          <w:rFonts w:ascii="Calibri" w:cs="Calibri" w:eastAsia="Calibri" w:hAnsi="Calibri"/>
          <w:sz w:val="20"/>
          <w:szCs w:val="20"/>
        </w:rPr>
        <w:t xml:space="preserve">Please describe the identity and authority checks your practice performs before releasing information, broken out by requester - a patient in person, a caller by telephone, a public official appearing on site, a written request on government letterhead, and a subpoena or court order. Identify who performs the check at each point of contact and what proof is captured.</w:t>
      </w:r>
    </w:p>
    <w:p>
      <w:pPr>
        <w:pStyle w:val="ListParagraph"/>
        <w:numPr>
          <w:ilvl w:val="0"/>
          <w:numId w:val="2"/>
        </w:numPr>
        <w:spacing w:after="40" w:line="250"/>
      </w:pPr>
      <w:r>
        <w:rPr>
          <w:rFonts w:ascii="Calibri" w:cs="Calibri" w:eastAsia="Calibri" w:hAnsi="Calibri"/>
          <w:color w:val="595959"/>
          <w:sz w:val="19"/>
          <w:szCs w:val="19"/>
        </w:rPr>
        <w:t xml:space="preserve">Name the staff role that verifies identity at the front desk and by telephone.</w:t>
      </w:r>
    </w:p>
    <w:p>
      <w:pPr>
        <w:pStyle w:val="ListParagraph"/>
        <w:numPr>
          <w:ilvl w:val="0"/>
          <w:numId w:val="2"/>
        </w:numPr>
        <w:spacing w:after="40" w:line="250"/>
      </w:pPr>
      <w:r>
        <w:rPr>
          <w:rFonts w:ascii="Calibri" w:cs="Calibri" w:eastAsia="Calibri" w:hAnsi="Calibri"/>
          <w:color w:val="595959"/>
          <w:sz w:val="19"/>
          <w:szCs w:val="19"/>
        </w:rPr>
        <w:t xml:space="preserve">Describe what copy of credentials, letterhead, or legal process is retained.</w:t>
      </w:r>
    </w:p>
    <w:p>
      <w:pPr>
        <w:pStyle w:val="ListParagraph"/>
        <w:numPr>
          <w:ilvl w:val="0"/>
          <w:numId w:val="2"/>
        </w:numPr>
        <w:spacing w:after="40" w:line="250"/>
      </w:pPr>
      <w:r>
        <w:rPr>
          <w:rFonts w:ascii="Calibri" w:cs="Calibri" w:eastAsia="Calibri" w:hAnsi="Calibri"/>
          <w:color w:val="595959"/>
          <w:sz w:val="19"/>
          <w:szCs w:val="19"/>
        </w:rPr>
        <w:t xml:space="preserve">State how a request lacking adequate proof is refused and escalated.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PRV-31  </w:t>
      </w:r>
      <w:r>
        <w:rPr>
          <w:rFonts w:ascii="Calibri" w:cs="Calibri" w:eastAsia="Calibri" w:hAnsi="Calibri"/>
          <w:b/>
          <w:bCs/>
          <w:color w:val="1F3864"/>
          <w:sz w:val="22"/>
          <w:szCs w:val="22"/>
        </w:rPr>
        <w:t xml:space="preserve">Notice of Privacy Practices</w:t>
      </w:r>
      <w:r>
        <w:rPr>
          <w:sz w:val="18"/>
          <w:szCs w:val="18"/>
        </w:rPr>
        <w:ptab w:alignment="right" w:relativeTo="margin" w:leader="dot"/>
      </w:r>
      <w:r>
        <w:rPr>
          <w:rFonts w:ascii="Calibri" w:cs="Calibri" w:eastAsia="Calibri" w:hAnsi="Calibri"/>
          <w:color w:val="2E5C8A"/>
          <w:sz w:val="18"/>
          <w:szCs w:val="18"/>
        </w:rPr>
        <w:t xml:space="preserve">Manual pp. 104–109</w:t>
      </w:r>
    </w:p>
    <w:p>
      <w:pPr>
        <w:spacing w:after="80" w:before="60" w:line="260"/>
      </w:pPr>
      <w:r>
        <w:rPr>
          <w:rFonts w:ascii="Calibri" w:cs="Calibri" w:eastAsia="Calibri" w:hAnsi="Calibri"/>
          <w:sz w:val="20"/>
          <w:szCs w:val="20"/>
        </w:rPr>
        <w:t xml:space="preserve">Please describe how your practice delivers the Notice of Privacy Practices and captures acknowledgment - at the first service delivery, after an emergency visit, at each physical location, and for patients whose first contact is electronic. Identify who obtains the signed acknowledgment, what is documented when a patient will not sign, and how a revised Notice is redistributed and posted.</w:t>
      </w:r>
    </w:p>
    <w:p>
      <w:pPr>
        <w:pStyle w:val="ListParagraph"/>
        <w:numPr>
          <w:ilvl w:val="0"/>
          <w:numId w:val="2"/>
        </w:numPr>
        <w:spacing w:after="40" w:line="250"/>
      </w:pPr>
      <w:r>
        <w:rPr>
          <w:rFonts w:ascii="Calibri" w:cs="Calibri" w:eastAsia="Calibri" w:hAnsi="Calibri"/>
          <w:color w:val="595959"/>
          <w:sz w:val="19"/>
          <w:szCs w:val="19"/>
        </w:rPr>
        <w:t xml:space="preserve">Name the staff role that presents the Notice and obtains acknowledgment.</w:t>
      </w:r>
    </w:p>
    <w:p>
      <w:pPr>
        <w:pStyle w:val="ListParagraph"/>
        <w:numPr>
          <w:ilvl w:val="0"/>
          <w:numId w:val="2"/>
        </w:numPr>
        <w:spacing w:after="40" w:line="250"/>
      </w:pPr>
      <w:r>
        <w:rPr>
          <w:rFonts w:ascii="Calibri" w:cs="Calibri" w:eastAsia="Calibri" w:hAnsi="Calibri"/>
          <w:color w:val="595959"/>
          <w:sz w:val="19"/>
          <w:szCs w:val="19"/>
        </w:rPr>
        <w:t xml:space="preserve">Identify where signed acknowledgments and good faith effort notes are stored.</w:t>
      </w:r>
    </w:p>
    <w:p>
      <w:pPr>
        <w:pStyle w:val="ListParagraph"/>
        <w:numPr>
          <w:ilvl w:val="0"/>
          <w:numId w:val="2"/>
        </w:numPr>
        <w:spacing w:after="40" w:line="250"/>
      </w:pPr>
      <w:r>
        <w:rPr>
          <w:rFonts w:ascii="Calibri" w:cs="Calibri" w:eastAsia="Calibri" w:hAnsi="Calibri"/>
          <w:color w:val="595959"/>
          <w:sz w:val="19"/>
          <w:szCs w:val="19"/>
        </w:rPr>
        <w:t xml:space="preserve">Describe where the Notice is posted on site and on your website.</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PRV-32  </w:t>
      </w:r>
      <w:r>
        <w:rPr>
          <w:rFonts w:ascii="Calibri" w:cs="Calibri" w:eastAsia="Calibri" w:hAnsi="Calibri"/>
          <w:b/>
          <w:bCs/>
          <w:color w:val="1F3864"/>
          <w:sz w:val="22"/>
          <w:szCs w:val="22"/>
        </w:rPr>
        <w:t xml:space="preserve">Right of an Individual to Request Restriction of Uses and Disclosures</w:t>
      </w:r>
      <w:r>
        <w:rPr>
          <w:sz w:val="18"/>
          <w:szCs w:val="18"/>
        </w:rPr>
        <w:ptab w:alignment="right" w:relativeTo="margin" w:leader="dot"/>
      </w:r>
      <w:r>
        <w:rPr>
          <w:rFonts w:ascii="Calibri" w:cs="Calibri" w:eastAsia="Calibri" w:hAnsi="Calibri"/>
          <w:color w:val="2E5C8A"/>
          <w:sz w:val="18"/>
          <w:szCs w:val="18"/>
        </w:rPr>
        <w:t xml:space="preserve">Manual pp. 110–112</w:t>
      </w:r>
    </w:p>
    <w:p>
      <w:pPr>
        <w:spacing w:after="80" w:before="60" w:line="260"/>
      </w:pPr>
      <w:r>
        <w:rPr>
          <w:rFonts w:ascii="Calibri" w:cs="Calibri" w:eastAsia="Calibri" w:hAnsi="Calibri"/>
          <w:sz w:val="20"/>
          <w:szCs w:val="20"/>
        </w:rPr>
        <w:t xml:space="preserve">Please describe how your practice handles a patient's request to restrict uses or disclosures, especially the request it must grant - withholding information from a health plan where the patient has paid in full out of pocket for that item or service. Identify who decides discretionary requests, how an agreed restriction is flagged so no claim is submitted, and how a restriction is later terminated.</w:t>
      </w:r>
    </w:p>
    <w:p>
      <w:pPr>
        <w:pStyle w:val="ListParagraph"/>
        <w:numPr>
          <w:ilvl w:val="0"/>
          <w:numId w:val="2"/>
        </w:numPr>
        <w:spacing w:after="40" w:line="250"/>
      </w:pPr>
      <w:r>
        <w:rPr>
          <w:rFonts w:ascii="Calibri" w:cs="Calibri" w:eastAsia="Calibri" w:hAnsi="Calibri"/>
          <w:color w:val="595959"/>
          <w:sz w:val="19"/>
          <w:szCs w:val="19"/>
        </w:rPr>
        <w:t xml:space="preserve">Name the role that approves or declines a restriction request.</w:t>
      </w:r>
    </w:p>
    <w:p>
      <w:pPr>
        <w:pStyle w:val="ListParagraph"/>
        <w:numPr>
          <w:ilvl w:val="0"/>
          <w:numId w:val="2"/>
        </w:numPr>
        <w:spacing w:after="40" w:line="250"/>
      </w:pPr>
      <w:r>
        <w:rPr>
          <w:rFonts w:ascii="Calibri" w:cs="Calibri" w:eastAsia="Calibri" w:hAnsi="Calibri"/>
          <w:color w:val="595959"/>
          <w:sz w:val="19"/>
          <w:szCs w:val="19"/>
        </w:rPr>
        <w:t xml:space="preserve">Describe how the self-pay restriction is flagged in the record and billing system.</w:t>
      </w:r>
    </w:p>
    <w:p>
      <w:pPr>
        <w:pStyle w:val="ListParagraph"/>
        <w:numPr>
          <w:ilvl w:val="0"/>
          <w:numId w:val="2"/>
        </w:numPr>
        <w:spacing w:after="40" w:line="250"/>
      </w:pPr>
      <w:r>
        <w:rPr>
          <w:rFonts w:ascii="Calibri" w:cs="Calibri" w:eastAsia="Calibri" w:hAnsi="Calibri"/>
          <w:color w:val="595959"/>
          <w:sz w:val="19"/>
          <w:szCs w:val="19"/>
        </w:rPr>
        <w:t xml:space="preserve">State how a restriction is lifted for emergency treatment and documented afterward.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PRV-33  </w:t>
      </w:r>
      <w:r>
        <w:rPr>
          <w:rFonts w:ascii="Calibri" w:cs="Calibri" w:eastAsia="Calibri" w:hAnsi="Calibri"/>
          <w:b/>
          <w:bCs/>
          <w:color w:val="1F3864"/>
          <w:sz w:val="22"/>
          <w:szCs w:val="22"/>
        </w:rPr>
        <w:t xml:space="preserve">Confidential Communications Requirements</w:t>
      </w:r>
      <w:r>
        <w:rPr>
          <w:sz w:val="18"/>
          <w:szCs w:val="18"/>
        </w:rPr>
        <w:ptab w:alignment="right" w:relativeTo="margin" w:leader="dot"/>
      </w:r>
      <w:r>
        <w:rPr>
          <w:rFonts w:ascii="Calibri" w:cs="Calibri" w:eastAsia="Calibri" w:hAnsi="Calibri"/>
          <w:color w:val="2E5C8A"/>
          <w:sz w:val="18"/>
          <w:szCs w:val="18"/>
        </w:rPr>
        <w:t xml:space="preserve">Manual pp. 113–114</w:t>
      </w:r>
    </w:p>
    <w:p>
      <w:pPr>
        <w:spacing w:after="80" w:before="60" w:line="260"/>
      </w:pPr>
      <w:r>
        <w:rPr>
          <w:rFonts w:ascii="Calibri" w:cs="Calibri" w:eastAsia="Calibri" w:hAnsi="Calibri"/>
          <w:sz w:val="20"/>
          <w:szCs w:val="20"/>
        </w:rPr>
        <w:t xml:space="preserve">Please document the written request procedure your practice uses for confidential communications, including the form the patient completes, the alternative address or contact method it must specify, and how payment and statements will be handled under the accommodation. Identify who determines whether a request is reasonable and who communicates that decision back to the patient.</w:t>
      </w:r>
    </w:p>
    <w:p>
      <w:pPr>
        <w:pStyle w:val="ListParagraph"/>
        <w:numPr>
          <w:ilvl w:val="0"/>
          <w:numId w:val="2"/>
        </w:numPr>
        <w:spacing w:after="40" w:line="250"/>
      </w:pPr>
      <w:r>
        <w:rPr>
          <w:rFonts w:ascii="Calibri" w:cs="Calibri" w:eastAsia="Calibri" w:hAnsi="Calibri"/>
          <w:color w:val="595959"/>
          <w:sz w:val="19"/>
          <w:szCs w:val="19"/>
        </w:rPr>
        <w:t xml:space="preserve">Identify the written request form used and where completed forms are filed.</w:t>
      </w:r>
    </w:p>
    <w:p>
      <w:pPr>
        <w:pStyle w:val="ListParagraph"/>
        <w:numPr>
          <w:ilvl w:val="0"/>
          <w:numId w:val="2"/>
        </w:numPr>
        <w:spacing w:after="40" w:line="250"/>
      </w:pPr>
      <w:r>
        <w:rPr>
          <w:rFonts w:ascii="Calibri" w:cs="Calibri" w:eastAsia="Calibri" w:hAnsi="Calibri"/>
          <w:color w:val="595959"/>
          <w:sz w:val="19"/>
          <w:szCs w:val="19"/>
        </w:rPr>
        <w:t xml:space="preserve">Name the role that determines whether an accommodation is reasonable.</w:t>
      </w:r>
    </w:p>
    <w:p>
      <w:pPr>
        <w:pStyle w:val="ListParagraph"/>
        <w:numPr>
          <w:ilvl w:val="0"/>
          <w:numId w:val="2"/>
        </w:numPr>
        <w:spacing w:after="40" w:line="250"/>
      </w:pPr>
      <w:r>
        <w:rPr>
          <w:rFonts w:ascii="Calibri" w:cs="Calibri" w:eastAsia="Calibri" w:hAnsi="Calibri"/>
          <w:color w:val="595959"/>
          <w:sz w:val="19"/>
          <w:szCs w:val="19"/>
        </w:rPr>
        <w:t xml:space="preserve">Describe how the decision and its effective date are communicated and tracked.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PRV-34  </w:t>
      </w:r>
      <w:r>
        <w:rPr>
          <w:rFonts w:ascii="Calibri" w:cs="Calibri" w:eastAsia="Calibri" w:hAnsi="Calibri"/>
          <w:b/>
          <w:bCs/>
          <w:color w:val="1F3864"/>
          <w:sz w:val="22"/>
          <w:szCs w:val="22"/>
        </w:rPr>
        <w:t xml:space="preserve">Access to Protected Health Information</w:t>
      </w:r>
      <w:r>
        <w:rPr>
          <w:sz w:val="18"/>
          <w:szCs w:val="18"/>
        </w:rPr>
        <w:ptab w:alignment="right" w:relativeTo="margin" w:leader="dot"/>
      </w:r>
      <w:r>
        <w:rPr>
          <w:rFonts w:ascii="Calibri" w:cs="Calibri" w:eastAsia="Calibri" w:hAnsi="Calibri"/>
          <w:color w:val="2E5C8A"/>
          <w:sz w:val="18"/>
          <w:szCs w:val="18"/>
        </w:rPr>
        <w:t xml:space="preserve">Manual pp. 116–120</w:t>
      </w:r>
    </w:p>
    <w:p>
      <w:pPr>
        <w:spacing w:after="80" w:before="60" w:line="260"/>
      </w:pPr>
      <w:r>
        <w:rPr>
          <w:rFonts w:ascii="Calibri" w:cs="Calibri" w:eastAsia="Calibri" w:hAnsi="Calibri"/>
          <w:sz w:val="20"/>
          <w:szCs w:val="20"/>
        </w:rPr>
        <w:t xml:space="preserve">Please describe your practice's workflow for a patient's request to inspect or obtain a copy of their record, including what you treat as the designated record set, how requests are logged, and how the 30-day deadline and single 30-day extension are tracked. Explain how electronic copies and requests to send a copy directly to a third party are handled, and how your cost-based fee is calculated.</w:t>
      </w:r>
    </w:p>
    <w:p>
      <w:pPr>
        <w:pStyle w:val="ListParagraph"/>
        <w:numPr>
          <w:ilvl w:val="0"/>
          <w:numId w:val="2"/>
        </w:numPr>
        <w:spacing w:after="40" w:line="250"/>
      </w:pPr>
      <w:r>
        <w:rPr>
          <w:rFonts w:ascii="Calibri" w:cs="Calibri" w:eastAsia="Calibri" w:hAnsi="Calibri"/>
          <w:color w:val="595959"/>
          <w:sz w:val="19"/>
          <w:szCs w:val="19"/>
        </w:rPr>
        <w:t xml:space="preserve">Name the role that receives access requests and the role that fulfills them.</w:t>
      </w:r>
    </w:p>
    <w:p>
      <w:pPr>
        <w:pStyle w:val="ListParagraph"/>
        <w:numPr>
          <w:ilvl w:val="0"/>
          <w:numId w:val="2"/>
        </w:numPr>
        <w:spacing w:after="40" w:line="250"/>
      </w:pPr>
      <w:r>
        <w:rPr>
          <w:rFonts w:ascii="Calibri" w:cs="Calibri" w:eastAsia="Calibri" w:hAnsi="Calibri"/>
          <w:color w:val="595959"/>
          <w:sz w:val="19"/>
          <w:szCs w:val="19"/>
        </w:rPr>
        <w:t xml:space="preserve">Identify the request form, portal, and log used, and the fee schedule applied.</w:t>
      </w:r>
    </w:p>
    <w:p>
      <w:pPr>
        <w:pStyle w:val="ListParagraph"/>
        <w:numPr>
          <w:ilvl w:val="0"/>
          <w:numId w:val="2"/>
        </w:numPr>
        <w:spacing w:after="40" w:line="250"/>
      </w:pPr>
      <w:r>
        <w:rPr>
          <w:rFonts w:ascii="Calibri" w:cs="Calibri" w:eastAsia="Calibri" w:hAnsi="Calibri"/>
          <w:color w:val="595959"/>
          <w:sz w:val="19"/>
          <w:szCs w:val="19"/>
        </w:rPr>
        <w:t xml:space="preserve">Describe how a denial is issued and who serves as the independent reviewing professional.</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PRV-35  </w:t>
      </w:r>
      <w:r>
        <w:rPr>
          <w:rFonts w:ascii="Calibri" w:cs="Calibri" w:eastAsia="Calibri" w:hAnsi="Calibri"/>
          <w:b/>
          <w:bCs/>
          <w:color w:val="1F3864"/>
          <w:sz w:val="22"/>
          <w:szCs w:val="22"/>
        </w:rPr>
        <w:t xml:space="preserve">Right to Amend</w:t>
      </w:r>
      <w:r>
        <w:rPr>
          <w:sz w:val="18"/>
          <w:szCs w:val="18"/>
        </w:rPr>
        <w:ptab w:alignment="right" w:relativeTo="margin" w:leader="dot"/>
      </w:r>
      <w:r>
        <w:rPr>
          <w:rFonts w:ascii="Calibri" w:cs="Calibri" w:eastAsia="Calibri" w:hAnsi="Calibri"/>
          <w:color w:val="2E5C8A"/>
          <w:sz w:val="18"/>
          <w:szCs w:val="18"/>
        </w:rPr>
        <w:t xml:space="preserve">Manual pp. 122–125</w:t>
      </w:r>
    </w:p>
    <w:p>
      <w:pPr>
        <w:spacing w:after="80" w:before="60" w:line="260"/>
      </w:pPr>
      <w:r>
        <w:rPr>
          <w:rFonts w:ascii="Calibri" w:cs="Calibri" w:eastAsia="Calibri" w:hAnsi="Calibri"/>
          <w:sz w:val="20"/>
          <w:szCs w:val="20"/>
        </w:rPr>
        <w:t xml:space="preserve">Please describe how your practice processes a written request to amend a record, from intake through the 60-day decision and any single 30-day extension. Identify who evaluates whether the practice created the record and whether it is accurate and complete, how an accepted amendment is appended or linked in the chart, and who is notified afterward, including business associates.</w:t>
      </w:r>
    </w:p>
    <w:p>
      <w:pPr>
        <w:pStyle w:val="ListParagraph"/>
        <w:numPr>
          <w:ilvl w:val="0"/>
          <w:numId w:val="2"/>
        </w:numPr>
        <w:spacing w:after="40" w:line="250"/>
      </w:pPr>
      <w:r>
        <w:rPr>
          <w:rFonts w:ascii="Calibri" w:cs="Calibri" w:eastAsia="Calibri" w:hAnsi="Calibri"/>
          <w:color w:val="595959"/>
          <w:sz w:val="19"/>
          <w:szCs w:val="19"/>
        </w:rPr>
        <w:t xml:space="preserve">Name the clinician or officer who decides to accept or deny an amendment.</w:t>
      </w:r>
    </w:p>
    <w:p>
      <w:pPr>
        <w:pStyle w:val="ListParagraph"/>
        <w:numPr>
          <w:ilvl w:val="0"/>
          <w:numId w:val="2"/>
        </w:numPr>
        <w:spacing w:after="40" w:line="250"/>
      </w:pPr>
      <w:r>
        <w:rPr>
          <w:rFonts w:ascii="Calibri" w:cs="Calibri" w:eastAsia="Calibri" w:hAnsi="Calibri"/>
          <w:color w:val="595959"/>
          <w:sz w:val="19"/>
          <w:szCs w:val="19"/>
        </w:rPr>
        <w:t xml:space="preserve">Describe how the amendment is appended and how prior recipients are informed.</w:t>
      </w:r>
    </w:p>
    <w:p>
      <w:pPr>
        <w:pStyle w:val="ListParagraph"/>
        <w:numPr>
          <w:ilvl w:val="0"/>
          <w:numId w:val="2"/>
        </w:numPr>
        <w:spacing w:after="40" w:line="250"/>
      </w:pPr>
      <w:r>
        <w:rPr>
          <w:rFonts w:ascii="Calibri" w:cs="Calibri" w:eastAsia="Calibri" w:hAnsi="Calibri"/>
          <w:color w:val="595959"/>
          <w:sz w:val="19"/>
          <w:szCs w:val="19"/>
        </w:rPr>
        <w:t xml:space="preserve">State how a statement of disagreement and the practice's rebuttal are filed.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PRV-36  </w:t>
      </w:r>
      <w:r>
        <w:rPr>
          <w:rFonts w:ascii="Calibri" w:cs="Calibri" w:eastAsia="Calibri" w:hAnsi="Calibri"/>
          <w:b/>
          <w:bCs/>
          <w:color w:val="1F3864"/>
          <w:sz w:val="22"/>
          <w:szCs w:val="22"/>
        </w:rPr>
        <w:t xml:space="preserve">Administrative Requirements</w:t>
      </w:r>
      <w:r>
        <w:rPr>
          <w:sz w:val="18"/>
          <w:szCs w:val="18"/>
        </w:rPr>
        <w:ptab w:alignment="right" w:relativeTo="margin" w:leader="dot"/>
      </w:r>
      <w:r>
        <w:rPr>
          <w:rFonts w:ascii="Calibri" w:cs="Calibri" w:eastAsia="Calibri" w:hAnsi="Calibri"/>
          <w:color w:val="2E5C8A"/>
          <w:sz w:val="18"/>
          <w:szCs w:val="18"/>
        </w:rPr>
        <w:t xml:space="preserve">Manual pp. 127–132</w:t>
      </w:r>
    </w:p>
    <w:p>
      <w:pPr>
        <w:spacing w:after="80" w:before="60" w:line="260"/>
      </w:pPr>
      <w:r>
        <w:rPr>
          <w:rFonts w:ascii="Calibri" w:cs="Calibri" w:eastAsia="Calibri" w:hAnsi="Calibri"/>
          <w:sz w:val="20"/>
          <w:szCs w:val="20"/>
        </w:rPr>
        <w:t xml:space="preserve">Please identify by name and title the privacy official and the contact person who receives complaints at your practice, and describe how workforce training is delivered at hire, after a material change to policy, and periodically thereafter. Explain how complaints, applied sanctions, safeguards, and policy changes are documented and how the six-year retention period is maintained.</w:t>
      </w:r>
    </w:p>
    <w:p>
      <w:pPr>
        <w:pStyle w:val="ListParagraph"/>
        <w:numPr>
          <w:ilvl w:val="0"/>
          <w:numId w:val="2"/>
        </w:numPr>
        <w:spacing w:after="40" w:line="250"/>
      </w:pPr>
      <w:r>
        <w:rPr>
          <w:rFonts w:ascii="Calibri" w:cs="Calibri" w:eastAsia="Calibri" w:hAnsi="Calibri"/>
          <w:color w:val="595959"/>
          <w:sz w:val="19"/>
          <w:szCs w:val="19"/>
        </w:rPr>
        <w:t xml:space="preserve">Give the name and title of the privacy official and the complaint contact.</w:t>
      </w:r>
    </w:p>
    <w:p>
      <w:pPr>
        <w:pStyle w:val="ListParagraph"/>
        <w:numPr>
          <w:ilvl w:val="0"/>
          <w:numId w:val="2"/>
        </w:numPr>
        <w:spacing w:after="40" w:line="250"/>
      </w:pPr>
      <w:r>
        <w:rPr>
          <w:rFonts w:ascii="Calibri" w:cs="Calibri" w:eastAsia="Calibri" w:hAnsi="Calibri"/>
          <w:color w:val="595959"/>
          <w:sz w:val="19"/>
          <w:szCs w:val="19"/>
        </w:rPr>
        <w:t xml:space="preserve">Identify the training system and where completion records and complaint logs are kept.</w:t>
      </w:r>
    </w:p>
    <w:p>
      <w:pPr>
        <w:pStyle w:val="ListParagraph"/>
        <w:numPr>
          <w:ilvl w:val="0"/>
          <w:numId w:val="2"/>
        </w:numPr>
        <w:spacing w:after="40" w:line="250"/>
      </w:pPr>
      <w:r>
        <w:rPr>
          <w:rFonts w:ascii="Calibri" w:cs="Calibri" w:eastAsia="Calibri" w:hAnsi="Calibri"/>
          <w:color w:val="595959"/>
          <w:sz w:val="19"/>
          <w:szCs w:val="19"/>
        </w:rPr>
        <w:t xml:space="preserve">Describe the sanction process and where applied sanctions are documented.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PRV-37  </w:t>
      </w:r>
      <w:r>
        <w:rPr>
          <w:rFonts w:ascii="Calibri" w:cs="Calibri" w:eastAsia="Calibri" w:hAnsi="Calibri"/>
          <w:b/>
          <w:bCs/>
          <w:color w:val="1F3864"/>
          <w:sz w:val="22"/>
          <w:szCs w:val="22"/>
        </w:rPr>
        <w:t xml:space="preserve">Breach Notification of Unsecured PHI Policy</w:t>
      </w:r>
      <w:r>
        <w:rPr>
          <w:sz w:val="18"/>
          <w:szCs w:val="18"/>
        </w:rPr>
        <w:ptab w:alignment="right" w:relativeTo="margin" w:leader="dot"/>
      </w:r>
      <w:r>
        <w:rPr>
          <w:rFonts w:ascii="Calibri" w:cs="Calibri" w:eastAsia="Calibri" w:hAnsi="Calibri"/>
          <w:color w:val="2E5C8A"/>
          <w:sz w:val="18"/>
          <w:szCs w:val="18"/>
        </w:rPr>
        <w:t xml:space="preserve">Manual pp. 133–145</w:t>
      </w:r>
    </w:p>
    <w:p>
      <w:pPr>
        <w:spacing w:after="80" w:before="60" w:line="260"/>
      </w:pPr>
      <w:r>
        <w:rPr>
          <w:rFonts w:ascii="Calibri" w:cs="Calibri" w:eastAsia="Calibri" w:hAnsi="Calibri"/>
          <w:sz w:val="20"/>
          <w:szCs w:val="20"/>
        </w:rPr>
        <w:t xml:space="preserve">Please describe your practice's breach response workflow from discovery through notification, including who convenes the response team, how the four-factor risk assessment is completed and documented, and how the 60-day notification deadline is tracked. Explain how breaches affecting fewer than 500 individuals are logged and reported annually versus breaches of 500 or more requiring media and immediate reporting.</w:t>
      </w:r>
    </w:p>
    <w:p>
      <w:pPr>
        <w:pStyle w:val="ListParagraph"/>
        <w:numPr>
          <w:ilvl w:val="0"/>
          <w:numId w:val="2"/>
        </w:numPr>
        <w:spacing w:after="40" w:line="250"/>
      </w:pPr>
      <w:r>
        <w:rPr>
          <w:rFonts w:ascii="Calibri" w:cs="Calibri" w:eastAsia="Calibri" w:hAnsi="Calibri"/>
          <w:color w:val="595959"/>
          <w:sz w:val="19"/>
          <w:szCs w:val="19"/>
        </w:rPr>
        <w:t xml:space="preserve">Name the officer who leads the risk assessment and the breach response team.</w:t>
      </w:r>
    </w:p>
    <w:p>
      <w:pPr>
        <w:pStyle w:val="ListParagraph"/>
        <w:numPr>
          <w:ilvl w:val="0"/>
          <w:numId w:val="2"/>
        </w:numPr>
        <w:spacing w:after="40" w:line="250"/>
      </w:pPr>
      <w:r>
        <w:rPr>
          <w:rFonts w:ascii="Calibri" w:cs="Calibri" w:eastAsia="Calibri" w:hAnsi="Calibri"/>
          <w:color w:val="595959"/>
          <w:sz w:val="19"/>
          <w:szCs w:val="19"/>
        </w:rPr>
        <w:t xml:space="preserve">Identify the determination and risk assessment worksheets and where the breach log lives.</w:t>
      </w:r>
    </w:p>
    <w:p>
      <w:pPr>
        <w:pStyle w:val="ListParagraph"/>
        <w:numPr>
          <w:ilvl w:val="0"/>
          <w:numId w:val="2"/>
        </w:numPr>
        <w:spacing w:after="40" w:line="250"/>
      </w:pPr>
      <w:r>
        <w:rPr>
          <w:rFonts w:ascii="Calibri" w:cs="Calibri" w:eastAsia="Calibri" w:hAnsi="Calibri"/>
          <w:color w:val="595959"/>
          <w:sz w:val="19"/>
          <w:szCs w:val="19"/>
        </w:rPr>
        <w:t xml:space="preserve">Describe substitute notice steps and the timing of the annual report to the Secretary.</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PRV-38  </w:t>
      </w:r>
      <w:r>
        <w:rPr>
          <w:rFonts w:ascii="Calibri" w:cs="Calibri" w:eastAsia="Calibri" w:hAnsi="Calibri"/>
          <w:b/>
          <w:bCs/>
          <w:color w:val="1F3864"/>
          <w:sz w:val="22"/>
          <w:szCs w:val="22"/>
        </w:rPr>
        <w:t xml:space="preserve">Mitigation of Breaches Policy</w:t>
      </w:r>
      <w:r>
        <w:rPr>
          <w:sz w:val="18"/>
          <w:szCs w:val="18"/>
        </w:rPr>
        <w:ptab w:alignment="right" w:relativeTo="margin" w:leader="dot"/>
      </w:r>
      <w:r>
        <w:rPr>
          <w:rFonts w:ascii="Calibri" w:cs="Calibri" w:eastAsia="Calibri" w:hAnsi="Calibri"/>
          <w:color w:val="2E5C8A"/>
          <w:sz w:val="18"/>
          <w:szCs w:val="18"/>
        </w:rPr>
        <w:t xml:space="preserve">Manual pp. 147–148</w:t>
      </w:r>
    </w:p>
    <w:p>
      <w:pPr>
        <w:spacing w:after="80" w:before="60" w:line="260"/>
      </w:pPr>
      <w:r>
        <w:rPr>
          <w:rFonts w:ascii="Calibri" w:cs="Calibri" w:eastAsia="Calibri" w:hAnsi="Calibri"/>
          <w:sz w:val="20"/>
          <w:szCs w:val="20"/>
        </w:rPr>
        <w:t xml:space="preserve">Please describe how your practice limits the harm from a privacy violation once it is known, separate from any required notification. Explain how a workforce member reports a suspected or known violation to the Privacy Officer, what corrective steps are typically taken - retraining, discipline, fixing a process, or addressing a business associate - and how each mitigation step is documented.</w:t>
      </w:r>
    </w:p>
    <w:p>
      <w:pPr>
        <w:pStyle w:val="ListParagraph"/>
        <w:numPr>
          <w:ilvl w:val="0"/>
          <w:numId w:val="2"/>
        </w:numPr>
        <w:spacing w:after="40" w:line="250"/>
      </w:pPr>
      <w:r>
        <w:rPr>
          <w:rFonts w:ascii="Calibri" w:cs="Calibri" w:eastAsia="Calibri" w:hAnsi="Calibri"/>
          <w:color w:val="595959"/>
          <w:sz w:val="19"/>
          <w:szCs w:val="19"/>
        </w:rPr>
        <w:t xml:space="preserve">Describe how staff report a suspected violation and within what timeframe.</w:t>
      </w:r>
    </w:p>
    <w:p>
      <w:pPr>
        <w:pStyle w:val="ListParagraph"/>
        <w:numPr>
          <w:ilvl w:val="0"/>
          <w:numId w:val="2"/>
        </w:numPr>
        <w:spacing w:after="40" w:line="250"/>
      </w:pPr>
      <w:r>
        <w:rPr>
          <w:rFonts w:ascii="Calibri" w:cs="Calibri" w:eastAsia="Calibri" w:hAnsi="Calibri"/>
          <w:color w:val="595959"/>
          <w:sz w:val="19"/>
          <w:szCs w:val="19"/>
        </w:rPr>
        <w:t xml:space="preserve">Name the role that decides and carries out corrective and disciplinary action.</w:t>
      </w:r>
    </w:p>
    <w:p>
      <w:pPr>
        <w:pStyle w:val="ListParagraph"/>
        <w:numPr>
          <w:ilvl w:val="0"/>
          <w:numId w:val="2"/>
        </w:numPr>
        <w:spacing w:after="40" w:line="250"/>
      </w:pPr>
      <w:r>
        <w:rPr>
          <w:rFonts w:ascii="Calibri" w:cs="Calibri" w:eastAsia="Calibri" w:hAnsi="Calibri"/>
          <w:color w:val="595959"/>
          <w:sz w:val="19"/>
          <w:szCs w:val="19"/>
        </w:rPr>
        <w:t xml:space="preserve">State where mitigation steps and the accounting of disclosures entry are recorded.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spacing w:after="0" w:before="240" w:line="260"/>
      </w:pPr>
      <w:r>
        <w:rPr>
          <w:rFonts w:ascii="Calibri" w:cs="Calibri" w:eastAsia="Calibri" w:hAnsi="Calibri"/>
          <w:sz w:val="20"/>
          <w:szCs w:val="20"/>
        </w:rPr>
        <w:t xml:space="preserve"/>
      </w:r>
    </w:p>
    <w:p>
      <w:pPr>
        <w:spacing w:after="60" w:before="240" w:line="260"/>
      </w:pPr>
      <w:r>
        <w:rPr>
          <w:rFonts w:ascii="Calibri" w:cs="Calibri" w:eastAsia="Calibri" w:hAnsi="Calibri"/>
          <w:b/>
          <w:bCs/>
          <w:color w:val="1F3864"/>
          <w:sz w:val="24"/>
          <w:szCs w:val="24"/>
        </w:rPr>
        <w:t xml:space="preserve">Certification</w:t>
      </w:r>
    </w:p>
    <w:p>
      <w:pPr>
        <w:spacing w:after="160" w:before="0" w:line="260"/>
      </w:pPr>
      <w:r>
        <w:rPr>
          <w:rFonts w:ascii="Calibri" w:cs="Calibri" w:eastAsia="Calibri" w:hAnsi="Calibri"/>
          <w:sz w:val="20"/>
          <w:szCs w:val="20"/>
        </w:rPr>
        <w:t xml:space="preserve">The responses above accurately describe the current operations of this organization.</w:t>
      </w:r>
    </w:p>
    <w:p>
      <w:pPr>
        <w:spacing w:after="160" w:before="0" w:line="260"/>
      </w:pPr>
      <w:r>
        <w:rPr>
          <w:rFonts w:ascii="Calibri" w:cs="Calibri" w:eastAsia="Calibri" w:hAnsi="Calibri"/>
          <w:sz w:val="20"/>
          <w:szCs w:val="20"/>
        </w:rPr>
        <w:t xml:space="preserve">Completed by (print name): ______________________________________   Title: ______________________________</w:t>
      </w:r>
    </w:p>
    <w:p>
      <w:pPr>
        <w:spacing w:after="0" w:before="0" w:line="260"/>
      </w:pPr>
      <w:r>
        <w:rPr>
          <w:rFonts w:ascii="Calibri" w:cs="Calibri" w:eastAsia="Calibri" w:hAnsi="Calibri"/>
          <w:sz w:val="20"/>
          <w:szCs w:val="20"/>
        </w:rPr>
        <w:t xml:space="preserve">Signature: ______________________________________________________   Date: _______________________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595959"/>
        <w:sz w:val="16"/>
        <w:szCs w:val="16"/>
      </w:rPr>
      <w:t xml:space="preserve">HIPAA Privacy Manual — Practice-Specific Workflow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2026-08-06T17:13:33.610Z</dcterms:created>
  <dcterms:modified xsi:type="dcterms:W3CDTF">2026-08-06T17:13:33.610Z</dcterms:modified>
</cp:coreProperties>
</file>

<file path=docProps/custom.xml><?xml version="1.0" encoding="utf-8"?>
<Properties xmlns="http://schemas.openxmlformats.org/officeDocument/2006/custom-properties" xmlns:vt="http://schemas.openxmlformats.org/officeDocument/2006/docPropsVTypes"/>
</file>