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Compliance and Ethics Manual</w:t>
      </w:r>
    </w:p>
    <w:p>
      <w:pPr>
        <w:pBdr>
          <w:bottom w:val="single" w:color="1F3864" w:sz="12"/>
        </w:pBdr>
        <w:spacing w:after="200"/>
      </w:pPr>
      <w:r>
        <w:rPr>
          <w:rFonts w:ascii="Calibri" w:cs="Calibri" w:eastAsia="Calibri" w:hAnsi="Calibri"/>
          <w:color w:val="2E5C8A"/>
          <w:sz w:val="28"/>
          <w:szCs w:val="28"/>
        </w:rPr>
        <w:t xml:space="preserve">Practice-Specific Workflow Questionnaire</w:t>
      </w:r>
    </w:p>
    <w:p>
      <w:pPr>
        <w:spacing w:after="60" w:before="120" w:line="260"/>
      </w:pPr>
      <w:r>
        <w:rPr>
          <w:rFonts w:ascii="Calibri" w:cs="Calibri" w:eastAsia="Calibri" w:hAnsi="Calibri"/>
          <w:b/>
          <w:bCs/>
          <w:color w:val="1F3864"/>
          <w:sz w:val="24"/>
          <w:szCs w:val="24"/>
        </w:rPr>
        <w:t xml:space="preserve">Purpose</w:t>
      </w:r>
    </w:p>
    <w:p>
      <w:pPr>
        <w:spacing w:after="80" w:before="0" w:line="260"/>
      </w:pPr>
      <w:r>
        <w:rPr>
          <w:rFonts w:ascii="Calibri" w:cs="Calibri" w:eastAsia="Calibri" w:hAnsi="Calibri"/>
          <w:sz w:val="20"/>
          <w:szCs w:val="20"/>
        </w:rPr>
        <w:t xml:space="preserve">This questionnaire converts the Compliance and Ethics Manual template into a document that describes how your practice actually operates. Each question corresponds to one policy in the manual. Your answers are transferred into the "Practice Specific Workflow Description" section that follows that policy in the manual.</w:t>
      </w:r>
    </w:p>
    <w:p>
      <w:pPr>
        <w:spacing w:after="60" w:before="160" w:line="260"/>
      </w:pPr>
      <w:r>
        <w:rPr>
          <w:rFonts w:ascii="Calibri" w:cs="Calibri" w:eastAsia="Calibri" w:hAnsi="Calibri"/>
          <w:b/>
          <w:bCs/>
          <w:color w:val="1F3864"/>
          <w:sz w:val="24"/>
          <w:szCs w:val="24"/>
        </w:rPr>
        <w:t xml:space="preserve">How to complete it</w:t>
      </w:r>
    </w:p>
    <w:p>
      <w:pPr>
        <w:pStyle w:val="ListParagraph"/>
        <w:numPr>
          <w:ilvl w:val="0"/>
          <w:numId w:val="2"/>
        </w:numPr>
        <w:spacing w:after="60" w:line="260"/>
      </w:pPr>
      <w:r>
        <w:rPr>
          <w:rFonts w:ascii="Calibri" w:cs="Calibri" w:eastAsia="Calibri" w:hAnsi="Calibri"/>
          <w:sz w:val="20"/>
          <w:szCs w:val="20"/>
        </w:rPr>
        <w:t xml:space="preserve">Complete Section 1 first. This information appears throughout all of your manuals.</w:t>
      </w:r>
    </w:p>
    <w:p>
      <w:pPr>
        <w:pStyle w:val="ListParagraph"/>
        <w:numPr>
          <w:ilvl w:val="0"/>
          <w:numId w:val="2"/>
        </w:numPr>
        <w:spacing w:after="60" w:line="260"/>
      </w:pPr>
      <w:r>
        <w:rPr>
          <w:rFonts w:ascii="Calibri" w:cs="Calibri" w:eastAsia="Calibri" w:hAnsi="Calibri"/>
          <w:sz w:val="20"/>
          <w:szCs w:val="20"/>
        </w:rPr>
        <w:t xml:space="preserve">Answer every question in Section 2 in narrative form. Name real roles, real systems, real vendors, and real timeframes — not "as required by policy."</w:t>
      </w:r>
    </w:p>
    <w:p>
      <w:pPr>
        <w:pStyle w:val="ListParagraph"/>
        <w:numPr>
          <w:ilvl w:val="0"/>
          <w:numId w:val="2"/>
        </w:numPr>
        <w:spacing w:after="60" w:line="260"/>
      </w:pPr>
      <w:r>
        <w:rPr>
          <w:rFonts w:ascii="Calibri" w:cs="Calibri" w:eastAsia="Calibri" w:hAnsi="Calibri"/>
          <w:sz w:val="20"/>
          <w:szCs w:val="20"/>
        </w:rPr>
        <w:t xml:space="preserve">If a policy does not apply to your practice, write "Not applicable" and state why. Do not leave a response blank.</w:t>
      </w:r>
    </w:p>
    <w:p>
      <w:pPr>
        <w:pStyle w:val="ListParagraph"/>
        <w:numPr>
          <w:ilvl w:val="0"/>
          <w:numId w:val="2"/>
        </w:numPr>
        <w:spacing w:after="60" w:line="260"/>
      </w:pPr>
      <w:r>
        <w:rPr>
          <w:rFonts w:ascii="Calibri" w:cs="Calibri" w:eastAsia="Calibri" w:hAnsi="Calibri"/>
          <w:sz w:val="20"/>
          <w:szCs w:val="20"/>
        </w:rPr>
        <w:t xml:space="preserve">The page reference beside each question number points to that policy in the accompanying manual: Compliance and Ethics Manual - with Practice Workflow Questions.docx</w:t>
      </w:r>
    </w:p>
    <w:p>
      <w:pPr>
        <w:pStyle w:val="ListParagraph"/>
        <w:numPr>
          <w:ilvl w:val="0"/>
          <w:numId w:val="2"/>
        </w:numPr>
        <w:spacing w:after="60" w:line="260"/>
      </w:pPr>
      <w:r>
        <w:rPr>
          <w:rFonts w:ascii="Calibri" w:cs="Calibri" w:eastAsia="Calibri" w:hAnsi="Calibri"/>
          <w:sz w:val="20"/>
          <w:szCs w:val="20"/>
        </w:rPr>
        <w:t xml:space="preserve">Each question is also printed in the manual itself beneath the policy, with the same question number.</w:t>
      </w:r>
    </w:p>
    <w:p>
      <w:pPr>
        <w:spacing w:after="40" w:before="160" w:line="260"/>
      </w:pPr>
      <w:r>
        <w:rPr>
          <w:rFonts w:ascii="Calibri" w:cs="Calibri" w:eastAsia="Calibri" w:hAnsi="Calibri"/>
          <w:b/>
          <w:bCs/>
          <w:color w:val="2E5C8A"/>
          <w:sz w:val="20"/>
          <w:szCs w:val="20"/>
        </w:rPr>
        <w:t xml:space="preserve">Total questions in this manual: 17</w:t>
      </w:r>
    </w:p>
    <w:p>
      <w:r>
        <w:br w:type="page"/>
      </w:r>
    </w:p>
    <w:p>
      <w:pPr>
        <w:spacing w:after="80" w:before="0" w:line="260"/>
      </w:pPr>
      <w:r>
        <w:rPr>
          <w:rFonts w:ascii="Calibri" w:cs="Calibri" w:eastAsia="Calibri" w:hAnsi="Calibri"/>
          <w:b/>
          <w:bCs/>
          <w:color w:val="1F3864"/>
          <w:sz w:val="28"/>
          <w:szCs w:val="28"/>
        </w:rPr>
        <w:t xml:space="preserve">Section 1 — Practice Information</w:t>
      </w:r>
    </w:p>
    <w:p>
      <w:pPr>
        <w:spacing w:after="160" w:before="0" w:line="260"/>
      </w:pPr>
      <w:r>
        <w:rPr>
          <w:rFonts w:ascii="Calibri" w:cs="Calibri" w:eastAsia="Calibri" w:hAnsi="Calibri"/>
          <w:i/>
          <w:iCs/>
          <w:color w:val="595959"/>
          <w:sz w:val="20"/>
          <w:szCs w:val="20"/>
        </w:rPr>
        <w:t xml:space="preserve">Complete every row. If a role is filled by an outside firm or consultant, give the firm name and the individual contact.</w:t>
      </w:r>
    </w:p>
    <w:tbl>
      <w:tblPr>
        <w:tblW w:type="dxa" w:w="10080"/>
        <w:tblBorders>
          <w:top w:val="single" w:color="B4C6E7" w:sz="4"/>
          <w:left w:val="single" w:color="B4C6E7" w:sz="4"/>
          <w:bottom w:val="single" w:color="B4C6E7" w:sz="4"/>
          <w:right w:val="single" w:color="B4C6E7" w:sz="4"/>
          <w:insideH w:val="single" w:color="B4C6E7" w:sz="4"/>
          <w:insideV w:val="single" w:color="B4C6E7" w:sz="4"/>
        </w:tblBorders>
      </w:tblPr>
      <w:tblGrid>
        <w:gridCol w:w="4300"/>
        <w:gridCol w:w="2200"/>
        <w:gridCol w:w="1790"/>
        <w:gridCol w:w="1790"/>
      </w:tblGrid>
      <w:tr>
        <w:trPr>
          <w:tblHeader/>
        </w:trPr>
        <w:tc>
          <w:tcPr>
            <w:tcW w:type="dxa" w:w="430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Required Information</w:t>
            </w:r>
          </w:p>
        </w:tc>
        <w:tc>
          <w:tcPr>
            <w:tcW w:type="dxa" w:w="220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Name</w:t>
            </w:r>
          </w:p>
        </w:tc>
        <w:tc>
          <w:tcPr>
            <w:tcW w:type="dxa" w:w="179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Telephone #</w:t>
            </w:r>
          </w:p>
        </w:tc>
        <w:tc>
          <w:tcPr>
            <w:tcW w:type="dxa" w:w="179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Email</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Legal Practice Name (include DBA if applicable)</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Practice Address — legal address first; list each additional location separately</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HIPAA Privacy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HIPAA Security Officer</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Release of Information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IT Company / Vendor</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Hotline number and/or email (note if using the EHCP hotline; number of posters needed — 2 per location recommended)</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Committee Members (list all)</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Governing Board Members (list all)</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bl>
    <w:p>
      <w:pPr>
        <w:spacing w:after="0" w:before="0" w:line="260"/>
      </w:pPr>
      <w:r>
        <w:rPr>
          <w:rFonts w:ascii="Calibri" w:cs="Calibri" w:eastAsia="Calibri" w:hAnsi="Calibri"/>
          <w:sz w:val="20"/>
          <w:szCs w:val="20"/>
        </w:rPr>
        <w:t xml:space="preserve"/>
      </w:r>
    </w:p>
    <w:p>
      <w:pPr>
        <w:spacing w:after="60" w:before="200" w:line="260"/>
      </w:pPr>
      <w:r>
        <w:rPr>
          <w:rFonts w:ascii="Calibri" w:cs="Calibri" w:eastAsia="Calibri" w:hAnsi="Calibri"/>
          <w:b/>
          <w:bCs/>
          <w:sz w:val="20"/>
          <w:szCs w:val="20"/>
        </w:rPr>
        <w:t xml:space="preserve">Additional locations, entities, or DBAs not listed above:</w:t>
      </w:r>
    </w:p>
    <w:p>
      <w:pPr>
        <w:spacing w:after="0" w:before="0" w:line="260"/>
      </w:pPr>
      <w:r>
        <w:rPr>
          <w:rFonts w:ascii="Calibri" w:cs="Calibri" w:eastAsia="Calibri" w:hAnsi="Calibri"/>
          <w:color w:val="595959"/>
          <w:sz w:val="20"/>
          <w:szCs w:val="20"/>
        </w:rPr>
        <w:t xml:space="preserve">Click or tap here to enter text.</w:t>
      </w:r>
    </w:p>
    <w:p>
      <w:r>
        <w:br w:type="page"/>
      </w:r>
    </w:p>
    <w:p>
      <w:pPr>
        <w:spacing w:after="80" w:before="0" w:line="260"/>
      </w:pPr>
      <w:r>
        <w:rPr>
          <w:rFonts w:ascii="Calibri" w:cs="Calibri" w:eastAsia="Calibri" w:hAnsi="Calibri"/>
          <w:b/>
          <w:bCs/>
          <w:color w:val="1F3864"/>
          <w:sz w:val="28"/>
          <w:szCs w:val="28"/>
        </w:rPr>
        <w:t xml:space="preserve">Section 2 — Policy Workflow Questions</w:t>
      </w:r>
    </w:p>
    <w:p>
      <w:pPr>
        <w:spacing w:after="80" w:before="0" w:line="260"/>
      </w:pPr>
      <w:r>
        <w:rPr>
          <w:rFonts w:ascii="Calibri" w:cs="Calibri" w:eastAsia="Calibri" w:hAnsi="Calibri"/>
          <w:i/>
          <w:iCs/>
          <w:color w:val="595959"/>
          <w:sz w:val="20"/>
          <w:szCs w:val="20"/>
        </w:rPr>
        <w:t xml:space="preserve">Answer each question below. Page references are to Compliance and Ethics Manual - with Practice Workflow Questions.docx.</w:t>
      </w:r>
    </w:p>
    <w:p>
      <w:pPr>
        <w:keepNext/>
        <w:pBdr>
          <w:bottom w:val="single" w:color="B4C6E7" w:sz="6"/>
        </w:pBdr>
        <w:spacing w:after="60" w:before="240"/>
      </w:pPr>
      <w:r>
        <w:rPr>
          <w:rFonts w:ascii="Calibri" w:cs="Calibri" w:eastAsia="Calibri" w:hAnsi="Calibri"/>
          <w:b/>
          <w:bCs/>
          <w:color w:val="1F3864"/>
          <w:sz w:val="22"/>
          <w:szCs w:val="22"/>
        </w:rPr>
        <w:t xml:space="preserve">CMP-01  </w:t>
      </w:r>
      <w:r>
        <w:rPr>
          <w:rFonts w:ascii="Calibri" w:cs="Calibri" w:eastAsia="Calibri" w:hAnsi="Calibri"/>
          <w:b/>
          <w:bCs/>
          <w:color w:val="1F3864"/>
          <w:sz w:val="22"/>
          <w:szCs w:val="22"/>
        </w:rPr>
        <w:t xml:space="preserve">Governing Board Responsibilities</w:t>
      </w:r>
      <w:r>
        <w:rPr>
          <w:sz w:val="18"/>
          <w:szCs w:val="18"/>
        </w:rPr>
        <w:ptab w:alignment="right" w:relativeTo="margin" w:leader="dot"/>
      </w:r>
      <w:r>
        <w:rPr>
          <w:rFonts w:ascii="Calibri" w:cs="Calibri" w:eastAsia="Calibri" w:hAnsi="Calibri"/>
          <w:color w:val="2E5C8A"/>
          <w:sz w:val="18"/>
          <w:szCs w:val="18"/>
        </w:rPr>
        <w:t xml:space="preserve">Manual p. 4</w:t>
      </w:r>
    </w:p>
    <w:p>
      <w:pPr>
        <w:spacing w:after="80" w:before="60" w:line="260"/>
      </w:pPr>
      <w:r>
        <w:rPr>
          <w:rFonts w:ascii="Calibri" w:cs="Calibri" w:eastAsia="Calibri" w:hAnsi="Calibri"/>
          <w:sz w:val="20"/>
          <w:szCs w:val="20"/>
        </w:rPr>
        <w:t xml:space="preserve">Please describe how your practice's governing board, managing partners or owners actually exercise compliance oversight day to day, including how the Compliance Officer and Compliance Committee members were appointed, how requests for compliance funding and staffing are reviewed and approved, how often the board receives and reviews the Compliance Officer's report, and how board direction on a compliance issue is recorded and followed to completion.</w:t>
      </w:r>
    </w:p>
    <w:p>
      <w:pPr>
        <w:pStyle w:val="ListParagraph"/>
        <w:numPr>
          <w:ilvl w:val="0"/>
          <w:numId w:val="2"/>
        </w:numPr>
        <w:spacing w:after="40" w:line="250"/>
      </w:pPr>
      <w:r>
        <w:rPr>
          <w:rFonts w:ascii="Calibri" w:cs="Calibri" w:eastAsia="Calibri" w:hAnsi="Calibri"/>
          <w:color w:val="595959"/>
          <w:sz w:val="19"/>
          <w:szCs w:val="19"/>
        </w:rPr>
        <w:t xml:space="preserve">Name the board members, partners or owners holding compliance oversight authority.</w:t>
      </w:r>
    </w:p>
    <w:p>
      <w:pPr>
        <w:pStyle w:val="ListParagraph"/>
        <w:numPr>
          <w:ilvl w:val="0"/>
          <w:numId w:val="2"/>
        </w:numPr>
        <w:spacing w:after="40" w:line="250"/>
      </w:pPr>
      <w:r>
        <w:rPr>
          <w:rFonts w:ascii="Calibri" w:cs="Calibri" w:eastAsia="Calibri" w:hAnsi="Calibri"/>
          <w:color w:val="595959"/>
          <w:sz w:val="19"/>
          <w:szCs w:val="19"/>
        </w:rPr>
        <w:t xml:space="preserve">Identify where board minutes and Compliance Officer reports are retained and who may access them.</w:t>
      </w:r>
    </w:p>
    <w:p>
      <w:pPr>
        <w:pStyle w:val="ListParagraph"/>
        <w:numPr>
          <w:ilvl w:val="0"/>
          <w:numId w:val="2"/>
        </w:numPr>
        <w:spacing w:after="40" w:line="250"/>
      </w:pPr>
      <w:r>
        <w:rPr>
          <w:rFonts w:ascii="Calibri" w:cs="Calibri" w:eastAsia="Calibri" w:hAnsi="Calibri"/>
          <w:color w:val="595959"/>
          <w:sz w:val="19"/>
          <w:szCs w:val="19"/>
        </w:rPr>
        <w:t xml:space="preserve">State the board's reporting cadence and how board compliance training and attendance are verified.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CMP-02  </w:t>
      </w:r>
      <w:r>
        <w:rPr>
          <w:rFonts w:ascii="Calibri" w:cs="Calibri" w:eastAsia="Calibri" w:hAnsi="Calibri"/>
          <w:b/>
          <w:bCs/>
          <w:color w:val="1F3864"/>
          <w:sz w:val="22"/>
          <w:szCs w:val="22"/>
        </w:rPr>
        <w:t xml:space="preserve">Management Responsibilities</w:t>
      </w:r>
      <w:r>
        <w:rPr>
          <w:sz w:val="18"/>
          <w:szCs w:val="18"/>
        </w:rPr>
        <w:ptab w:alignment="right" w:relativeTo="margin" w:leader="dot"/>
      </w:r>
      <w:r>
        <w:rPr>
          <w:rFonts w:ascii="Calibri" w:cs="Calibri" w:eastAsia="Calibri" w:hAnsi="Calibri"/>
          <w:color w:val="2E5C8A"/>
          <w:sz w:val="18"/>
          <w:szCs w:val="18"/>
        </w:rPr>
        <w:t xml:space="preserve">Manual p. 6</w:t>
      </w:r>
    </w:p>
    <w:p>
      <w:pPr>
        <w:spacing w:after="80" w:before="60" w:line="260"/>
      </w:pPr>
      <w:r>
        <w:rPr>
          <w:rFonts w:ascii="Calibri" w:cs="Calibri" w:eastAsia="Calibri" w:hAnsi="Calibri"/>
          <w:sz w:val="20"/>
          <w:szCs w:val="20"/>
        </w:rPr>
        <w:t xml:space="preserve">Please identify the management positions at your practice that carry compliance duties, and describe how management supports the program in practice: who wrote and approves the Compliance Officer job description, who supervises the Compliance Officer, how compliance responsibilities are delegated to office and department leads, and how management acts on reports and approves departmental corrective action when a potential violation surfaces.</w:t>
      </w:r>
    </w:p>
    <w:p>
      <w:pPr>
        <w:pStyle w:val="ListParagraph"/>
        <w:numPr>
          <w:ilvl w:val="0"/>
          <w:numId w:val="2"/>
        </w:numPr>
        <w:spacing w:after="40" w:line="250"/>
      </w:pPr>
      <w:r>
        <w:rPr>
          <w:rFonts w:ascii="Calibri" w:cs="Calibri" w:eastAsia="Calibri" w:hAnsi="Calibri"/>
          <w:color w:val="595959"/>
          <w:sz w:val="19"/>
          <w:szCs w:val="19"/>
        </w:rPr>
        <w:t xml:space="preserve">Name the manager who supervises the Compliance Officer and sits on the committee.</w:t>
      </w:r>
    </w:p>
    <w:p>
      <w:pPr>
        <w:pStyle w:val="ListParagraph"/>
        <w:numPr>
          <w:ilvl w:val="0"/>
          <w:numId w:val="2"/>
        </w:numPr>
        <w:spacing w:after="40" w:line="250"/>
      </w:pPr>
      <w:r>
        <w:rPr>
          <w:rFonts w:ascii="Calibri" w:cs="Calibri" w:eastAsia="Calibri" w:hAnsi="Calibri"/>
          <w:color w:val="595959"/>
          <w:sz w:val="19"/>
          <w:szCs w:val="19"/>
        </w:rPr>
        <w:t xml:space="preserve">Identify how corrective action plans are documented, tracked to closure, and by whom.</w:t>
      </w:r>
    </w:p>
    <w:p>
      <w:pPr>
        <w:pStyle w:val="ListParagraph"/>
        <w:numPr>
          <w:ilvl w:val="0"/>
          <w:numId w:val="2"/>
        </w:numPr>
        <w:spacing w:after="40" w:line="250"/>
      </w:pPr>
      <w:r>
        <w:rPr>
          <w:rFonts w:ascii="Calibri" w:cs="Calibri" w:eastAsia="Calibri" w:hAnsi="Calibri"/>
          <w:color w:val="595959"/>
          <w:sz w:val="19"/>
          <w:szCs w:val="19"/>
        </w:rPr>
        <w:t xml:space="preserve">State when outside counsel is engaged for a suspected violation and who decides.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CMP-03  </w:t>
      </w:r>
      <w:r>
        <w:rPr>
          <w:rFonts w:ascii="Calibri" w:cs="Calibri" w:eastAsia="Calibri" w:hAnsi="Calibri"/>
          <w:b/>
          <w:bCs/>
          <w:color w:val="1F3864"/>
          <w:sz w:val="22"/>
          <w:szCs w:val="22"/>
        </w:rPr>
        <w:t xml:space="preserve">Compliance Officer Responsibilities</w:t>
      </w:r>
      <w:r>
        <w:rPr>
          <w:sz w:val="18"/>
          <w:szCs w:val="18"/>
        </w:rPr>
        <w:ptab w:alignment="right" w:relativeTo="margin" w:leader="dot"/>
      </w:r>
      <w:r>
        <w:rPr>
          <w:rFonts w:ascii="Calibri" w:cs="Calibri" w:eastAsia="Calibri" w:hAnsi="Calibri"/>
          <w:color w:val="2E5C8A"/>
          <w:sz w:val="18"/>
          <w:szCs w:val="18"/>
        </w:rPr>
        <w:t xml:space="preserve">Manual pp. 8–10</w:t>
      </w:r>
    </w:p>
    <w:p>
      <w:pPr>
        <w:spacing w:after="80" w:before="60" w:line="260"/>
      </w:pPr>
      <w:r>
        <w:rPr>
          <w:rFonts w:ascii="Calibri" w:cs="Calibri" w:eastAsia="Calibri" w:hAnsi="Calibri"/>
          <w:sz w:val="20"/>
          <w:szCs w:val="20"/>
        </w:rPr>
        <w:t xml:space="preserve">Please document who serves as your practice's Compliance Officer, that person's other duties and the share of time devoted to compliance, and describe how the role is performed operationally: chairing the Compliance Committee, reviewing contracts, financial arrangements and marketing initiatives, overseeing contractors and agents, maintaining the complaint record, and reporting to management and the governing board.</w:t>
      </w:r>
    </w:p>
    <w:p>
      <w:pPr>
        <w:pStyle w:val="ListParagraph"/>
        <w:numPr>
          <w:ilvl w:val="0"/>
          <w:numId w:val="2"/>
        </w:numPr>
        <w:spacing w:after="40" w:line="250"/>
      </w:pPr>
      <w:r>
        <w:rPr>
          <w:rFonts w:ascii="Calibri" w:cs="Calibri" w:eastAsia="Calibri" w:hAnsi="Calibri"/>
          <w:color w:val="595959"/>
          <w:sz w:val="19"/>
          <w:szCs w:val="19"/>
        </w:rPr>
        <w:t xml:space="preserve">Give the Compliance Officer's name, title, designated backup, and direct reporting line.</w:t>
      </w:r>
    </w:p>
    <w:p>
      <w:pPr>
        <w:pStyle w:val="ListParagraph"/>
        <w:numPr>
          <w:ilvl w:val="0"/>
          <w:numId w:val="2"/>
        </w:numPr>
        <w:spacing w:after="40" w:line="250"/>
      </w:pPr>
      <w:r>
        <w:rPr>
          <w:rFonts w:ascii="Calibri" w:cs="Calibri" w:eastAsia="Calibri" w:hAnsi="Calibri"/>
          <w:color w:val="595959"/>
          <w:sz w:val="19"/>
          <w:szCs w:val="19"/>
        </w:rPr>
        <w:t xml:space="preserve">Identify where the complaint record and government contact records are maintained and secured.</w:t>
      </w:r>
    </w:p>
    <w:p>
      <w:pPr>
        <w:pStyle w:val="ListParagraph"/>
        <w:numPr>
          <w:ilvl w:val="0"/>
          <w:numId w:val="2"/>
        </w:numPr>
        <w:spacing w:after="40" w:line="250"/>
      </w:pPr>
      <w:r>
        <w:rPr>
          <w:rFonts w:ascii="Calibri" w:cs="Calibri" w:eastAsia="Calibri" w:hAnsi="Calibri"/>
          <w:color w:val="595959"/>
          <w:sz w:val="19"/>
          <w:szCs w:val="19"/>
        </w:rPr>
        <w:t xml:space="preserve">State the cadence of management and board reports and how each is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CMP-04  </w:t>
      </w:r>
      <w:r>
        <w:rPr>
          <w:rFonts w:ascii="Calibri" w:cs="Calibri" w:eastAsia="Calibri" w:hAnsi="Calibri"/>
          <w:b/>
          <w:bCs/>
          <w:color w:val="1F3864"/>
          <w:sz w:val="22"/>
          <w:szCs w:val="22"/>
        </w:rPr>
        <w:t xml:space="preserve">Compliance Committee Responsibilities</w:t>
      </w:r>
      <w:r>
        <w:rPr>
          <w:sz w:val="18"/>
          <w:szCs w:val="18"/>
        </w:rPr>
        <w:ptab w:alignment="right" w:relativeTo="margin" w:leader="dot"/>
      </w:r>
      <w:r>
        <w:rPr>
          <w:rFonts w:ascii="Calibri" w:cs="Calibri" w:eastAsia="Calibri" w:hAnsi="Calibri"/>
          <w:color w:val="2E5C8A"/>
          <w:sz w:val="18"/>
          <w:szCs w:val="18"/>
        </w:rPr>
        <w:t xml:space="preserve">Manual p. 13</w:t>
      </w:r>
    </w:p>
    <w:p>
      <w:pPr>
        <w:spacing w:after="80" w:before="60" w:line="260"/>
      </w:pPr>
      <w:r>
        <w:rPr>
          <w:rFonts w:ascii="Calibri" w:cs="Calibri" w:eastAsia="Calibri" w:hAnsi="Calibri"/>
          <w:sz w:val="20"/>
          <w:szCs w:val="20"/>
        </w:rPr>
        <w:t xml:space="preserve">Please identify the members of your practice's Compliance Committee by name, title and department represented, and describe how the committee actually functions: how meetings are scheduled and chaired, how risk topics and agenda items are selected, how department concerns are escalated into the committee, and how decisions, assignments and follow-up items are captured and closed.</w:t>
      </w:r>
    </w:p>
    <w:p>
      <w:pPr>
        <w:pStyle w:val="ListParagraph"/>
        <w:numPr>
          <w:ilvl w:val="0"/>
          <w:numId w:val="2"/>
        </w:numPr>
        <w:spacing w:after="40" w:line="250"/>
      </w:pPr>
      <w:r>
        <w:rPr>
          <w:rFonts w:ascii="Calibri" w:cs="Calibri" w:eastAsia="Calibri" w:hAnsi="Calibri"/>
          <w:color w:val="595959"/>
          <w:sz w:val="19"/>
          <w:szCs w:val="19"/>
        </w:rPr>
        <w:t xml:space="preserve">List which functions hold seats: billing, clinical, human resources, medical records, counsel.</w:t>
      </w:r>
    </w:p>
    <w:p>
      <w:pPr>
        <w:pStyle w:val="ListParagraph"/>
        <w:numPr>
          <w:ilvl w:val="0"/>
          <w:numId w:val="2"/>
        </w:numPr>
        <w:spacing w:after="40" w:line="250"/>
      </w:pPr>
      <w:r>
        <w:rPr>
          <w:rFonts w:ascii="Calibri" w:cs="Calibri" w:eastAsia="Calibri" w:hAnsi="Calibri"/>
          <w:color w:val="595959"/>
          <w:sz w:val="19"/>
          <w:szCs w:val="19"/>
        </w:rPr>
        <w:t xml:space="preserve">Identify who prepares agendas and minutes and where committee minutes are stored.</w:t>
      </w:r>
    </w:p>
    <w:p>
      <w:pPr>
        <w:pStyle w:val="ListParagraph"/>
        <w:numPr>
          <w:ilvl w:val="0"/>
          <w:numId w:val="2"/>
        </w:numPr>
        <w:spacing w:after="40" w:line="250"/>
      </w:pPr>
      <w:r>
        <w:rPr>
          <w:rFonts w:ascii="Calibri" w:cs="Calibri" w:eastAsia="Calibri" w:hAnsi="Calibri"/>
          <w:color w:val="595959"/>
          <w:sz w:val="19"/>
          <w:szCs w:val="19"/>
        </w:rPr>
        <w:t xml:space="preserve">State meeting frequency, expected attendance, and how missed meetings are made up.</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CMP-05  </w:t>
      </w:r>
      <w:r>
        <w:rPr>
          <w:rFonts w:ascii="Calibri" w:cs="Calibri" w:eastAsia="Calibri" w:hAnsi="Calibri"/>
          <w:b/>
          <w:bCs/>
          <w:color w:val="1F3864"/>
          <w:sz w:val="22"/>
          <w:szCs w:val="22"/>
        </w:rPr>
        <w:t xml:space="preserve">Personnel Responsibilities</w:t>
      </w:r>
      <w:r>
        <w:rPr>
          <w:sz w:val="18"/>
          <w:szCs w:val="18"/>
        </w:rPr>
        <w:ptab w:alignment="right" w:relativeTo="margin" w:leader="dot"/>
      </w:r>
      <w:r>
        <w:rPr>
          <w:rFonts w:ascii="Calibri" w:cs="Calibri" w:eastAsia="Calibri" w:hAnsi="Calibri"/>
          <w:color w:val="2E5C8A"/>
          <w:sz w:val="18"/>
          <w:szCs w:val="18"/>
        </w:rPr>
        <w:t xml:space="preserve">Manual p. 14</w:t>
      </w:r>
    </w:p>
    <w:p>
      <w:pPr>
        <w:spacing w:after="80" w:before="60" w:line="260"/>
      </w:pPr>
      <w:r>
        <w:rPr>
          <w:rFonts w:ascii="Calibri" w:cs="Calibri" w:eastAsia="Calibri" w:hAnsi="Calibri"/>
          <w:sz w:val="20"/>
          <w:szCs w:val="20"/>
        </w:rPr>
        <w:t xml:space="preserve">Please describe how individual staff compliance obligations are communicated, acknowledged and enforced at your practice, including how new hires and existing employees, contracted personnel and shareholders sign off on the standards of conduct, how the duty to report suspected violations and known exclusions is reinforced, and how compliance adherence is factored into each employee's performance evaluation.</w:t>
      </w:r>
    </w:p>
    <w:p>
      <w:pPr>
        <w:pStyle w:val="ListParagraph"/>
        <w:numPr>
          <w:ilvl w:val="0"/>
          <w:numId w:val="2"/>
        </w:numPr>
        <w:spacing w:after="40" w:line="250"/>
      </w:pPr>
      <w:r>
        <w:rPr>
          <w:rFonts w:ascii="Calibri" w:cs="Calibri" w:eastAsia="Calibri" w:hAnsi="Calibri"/>
          <w:color w:val="595959"/>
          <w:sz w:val="19"/>
          <w:szCs w:val="19"/>
        </w:rPr>
        <w:t xml:space="preserve">Identify who collects, files and audits signed employee acknowledgment forms.</w:t>
      </w:r>
    </w:p>
    <w:p>
      <w:pPr>
        <w:pStyle w:val="ListParagraph"/>
        <w:numPr>
          <w:ilvl w:val="0"/>
          <w:numId w:val="2"/>
        </w:numPr>
        <w:spacing w:after="40" w:line="250"/>
      </w:pPr>
      <w:r>
        <w:rPr>
          <w:rFonts w:ascii="Calibri" w:cs="Calibri" w:eastAsia="Calibri" w:hAnsi="Calibri"/>
          <w:color w:val="595959"/>
          <w:sz w:val="19"/>
          <w:szCs w:val="19"/>
        </w:rPr>
        <w:t xml:space="preserve">Describe where compliance adherence appears on your performance evaluation form.</w:t>
      </w:r>
    </w:p>
    <w:p>
      <w:pPr>
        <w:pStyle w:val="ListParagraph"/>
        <w:numPr>
          <w:ilvl w:val="0"/>
          <w:numId w:val="2"/>
        </w:numPr>
        <w:spacing w:after="40" w:line="250"/>
      </w:pPr>
      <w:r>
        <w:rPr>
          <w:rFonts w:ascii="Calibri" w:cs="Calibri" w:eastAsia="Calibri" w:hAnsi="Calibri"/>
          <w:color w:val="595959"/>
          <w:sz w:val="19"/>
          <w:szCs w:val="19"/>
        </w:rPr>
        <w:t xml:space="preserve">State how often staff re-acknowledge and how missed acknowledgments are escalated.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CMP-06  </w:t>
      </w:r>
      <w:r>
        <w:rPr>
          <w:rFonts w:ascii="Calibri" w:cs="Calibri" w:eastAsia="Calibri" w:hAnsi="Calibri"/>
          <w:b/>
          <w:bCs/>
          <w:color w:val="1F3864"/>
          <w:sz w:val="22"/>
          <w:szCs w:val="22"/>
        </w:rPr>
        <w:t xml:space="preserve">Fraud, Waste and Abuse</w:t>
      </w:r>
      <w:r>
        <w:rPr>
          <w:sz w:val="18"/>
          <w:szCs w:val="18"/>
        </w:rPr>
        <w:ptab w:alignment="right" w:relativeTo="margin" w:leader="dot"/>
      </w:r>
      <w:r>
        <w:rPr>
          <w:rFonts w:ascii="Calibri" w:cs="Calibri" w:eastAsia="Calibri" w:hAnsi="Calibri"/>
          <w:color w:val="2E5C8A"/>
          <w:sz w:val="18"/>
          <w:szCs w:val="18"/>
        </w:rPr>
        <w:t xml:space="preserve">Manual pp. 16–18</w:t>
      </w:r>
    </w:p>
    <w:p>
      <w:pPr>
        <w:spacing w:after="80" w:before="60" w:line="260"/>
      </w:pPr>
      <w:r>
        <w:rPr>
          <w:rFonts w:ascii="Calibri" w:cs="Calibri" w:eastAsia="Calibri" w:hAnsi="Calibri"/>
          <w:sz w:val="20"/>
          <w:szCs w:val="20"/>
        </w:rPr>
        <w:t xml:space="preserve">Please describe how your practice identifies and controls fraud, waste and abuse risk in its business arrangements and patient interactions, including how vendor contracts, leases, medical directorships and referral source relationships are reviewed before signing, how referrals for designated health services such as laboratory, imaging, physical therapy and durable medical equipment are handled where a financial relationship exists, and how requests to waive copayments or deductibles are decided.</w:t>
      </w:r>
    </w:p>
    <w:p>
      <w:pPr>
        <w:pStyle w:val="ListParagraph"/>
        <w:numPr>
          <w:ilvl w:val="0"/>
          <w:numId w:val="2"/>
        </w:numPr>
        <w:spacing w:after="40" w:line="250"/>
      </w:pPr>
      <w:r>
        <w:rPr>
          <w:rFonts w:ascii="Calibri" w:cs="Calibri" w:eastAsia="Calibri" w:hAnsi="Calibri"/>
          <w:color w:val="595959"/>
          <w:sz w:val="19"/>
          <w:szCs w:val="19"/>
        </w:rPr>
        <w:t xml:space="preserve">Name who reviews contracts, leases, marketing arrangements and physician compensation before execution.</w:t>
      </w:r>
    </w:p>
    <w:p>
      <w:pPr>
        <w:pStyle w:val="ListParagraph"/>
        <w:numPr>
          <w:ilvl w:val="0"/>
          <w:numId w:val="2"/>
        </w:numPr>
        <w:spacing w:after="40" w:line="250"/>
      </w:pPr>
      <w:r>
        <w:rPr>
          <w:rFonts w:ascii="Calibri" w:cs="Calibri" w:eastAsia="Calibri" w:hAnsi="Calibri"/>
          <w:color w:val="595959"/>
          <w:sz w:val="19"/>
          <w:szCs w:val="19"/>
        </w:rPr>
        <w:t xml:space="preserve">Identify the register of physician financial relationships, ownership interests and joint ventures.</w:t>
      </w:r>
    </w:p>
    <w:p>
      <w:pPr>
        <w:pStyle w:val="ListParagraph"/>
        <w:numPr>
          <w:ilvl w:val="0"/>
          <w:numId w:val="2"/>
        </w:numPr>
        <w:spacing w:after="40" w:line="250"/>
      </w:pPr>
      <w:r>
        <w:rPr>
          <w:rFonts w:ascii="Calibri" w:cs="Calibri" w:eastAsia="Calibri" w:hAnsi="Calibri"/>
          <w:color w:val="595959"/>
          <w:sz w:val="19"/>
          <w:szCs w:val="19"/>
        </w:rPr>
        <w:t xml:space="preserve">State how copayment waivers, discounts and hardship decisions are approved and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CMP-07  </w:t>
      </w:r>
      <w:r>
        <w:rPr>
          <w:rFonts w:ascii="Calibri" w:cs="Calibri" w:eastAsia="Calibri" w:hAnsi="Calibri"/>
          <w:b/>
          <w:bCs/>
          <w:color w:val="1F3864"/>
          <w:sz w:val="22"/>
          <w:szCs w:val="22"/>
        </w:rPr>
        <w:t xml:space="preserve">Education and Training</w:t>
      </w:r>
      <w:r>
        <w:rPr>
          <w:sz w:val="18"/>
          <w:szCs w:val="18"/>
        </w:rPr>
        <w:ptab w:alignment="right" w:relativeTo="margin" w:leader="dot"/>
      </w:r>
      <w:r>
        <w:rPr>
          <w:rFonts w:ascii="Calibri" w:cs="Calibri" w:eastAsia="Calibri" w:hAnsi="Calibri"/>
          <w:color w:val="2E5C8A"/>
          <w:sz w:val="18"/>
          <w:szCs w:val="18"/>
        </w:rPr>
        <w:t xml:space="preserve">Manual pp. 20–22</w:t>
      </w:r>
    </w:p>
    <w:p>
      <w:pPr>
        <w:spacing w:after="80" w:before="60" w:line="260"/>
      </w:pPr>
      <w:r>
        <w:rPr>
          <w:rFonts w:ascii="Calibri" w:cs="Calibri" w:eastAsia="Calibri" w:hAnsi="Calibri"/>
          <w:sz w:val="20"/>
          <w:szCs w:val="20"/>
        </w:rPr>
        <w:t xml:space="preserve">Please describe your practice's compliance education program in operational detail: what new employees, contracted personnel and board members receive at orientation, what the periodic refresher covers and how often it runs, what additional specialized training coding, billing and marketing staff receive, and how outside or vendor-sponsored educational sessions are reviewed and approved before staff attend.</w:t>
      </w:r>
    </w:p>
    <w:p>
      <w:pPr>
        <w:pStyle w:val="ListParagraph"/>
        <w:numPr>
          <w:ilvl w:val="0"/>
          <w:numId w:val="2"/>
        </w:numPr>
        <w:spacing w:after="40" w:line="250"/>
      </w:pPr>
      <w:r>
        <w:rPr>
          <w:rFonts w:ascii="Calibri" w:cs="Calibri" w:eastAsia="Calibri" w:hAnsi="Calibri"/>
          <w:color w:val="595959"/>
          <w:sz w:val="19"/>
          <w:szCs w:val="19"/>
        </w:rPr>
        <w:t xml:space="preserve">Name the person or vendor that builds, delivers and assigns compliance training.</w:t>
      </w:r>
    </w:p>
    <w:p>
      <w:pPr>
        <w:pStyle w:val="ListParagraph"/>
        <w:numPr>
          <w:ilvl w:val="0"/>
          <w:numId w:val="2"/>
        </w:numPr>
        <w:spacing w:after="40" w:line="250"/>
      </w:pPr>
      <w:r>
        <w:rPr>
          <w:rFonts w:ascii="Calibri" w:cs="Calibri" w:eastAsia="Calibri" w:hAnsi="Calibri"/>
          <w:color w:val="595959"/>
          <w:sz w:val="19"/>
          <w:szCs w:val="19"/>
        </w:rPr>
        <w:t xml:space="preserve">Identify the learning system, attendance log and signed verification forms used for records.</w:t>
      </w:r>
    </w:p>
    <w:p>
      <w:pPr>
        <w:pStyle w:val="ListParagraph"/>
        <w:numPr>
          <w:ilvl w:val="0"/>
          <w:numId w:val="2"/>
        </w:numPr>
        <w:spacing w:after="40" w:line="250"/>
      </w:pPr>
      <w:r>
        <w:rPr>
          <w:rFonts w:ascii="Calibri" w:cs="Calibri" w:eastAsia="Calibri" w:hAnsi="Calibri"/>
          <w:color w:val="595959"/>
          <w:sz w:val="19"/>
          <w:szCs w:val="19"/>
        </w:rPr>
        <w:t xml:space="preserve">State training frequency by role, retention period, and how overdue completions are pursued.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CMP-08  </w:t>
      </w:r>
      <w:r>
        <w:rPr>
          <w:rFonts w:ascii="Calibri" w:cs="Calibri" w:eastAsia="Calibri" w:hAnsi="Calibri"/>
          <w:b/>
          <w:bCs/>
          <w:color w:val="1F3864"/>
          <w:sz w:val="22"/>
          <w:szCs w:val="22"/>
        </w:rPr>
        <w:t xml:space="preserve">Communication About Compliance Issues</w:t>
      </w:r>
      <w:r>
        <w:rPr>
          <w:sz w:val="18"/>
          <w:szCs w:val="18"/>
        </w:rPr>
        <w:ptab w:alignment="right" w:relativeTo="margin" w:leader="dot"/>
      </w:r>
      <w:r>
        <w:rPr>
          <w:rFonts w:ascii="Calibri" w:cs="Calibri" w:eastAsia="Calibri" w:hAnsi="Calibri"/>
          <w:color w:val="2E5C8A"/>
          <w:sz w:val="18"/>
          <w:szCs w:val="18"/>
        </w:rPr>
        <w:t xml:space="preserve">Manual p. 25</w:t>
      </w:r>
    </w:p>
    <w:p>
      <w:pPr>
        <w:spacing w:after="80" w:before="60" w:line="260"/>
      </w:pPr>
      <w:r>
        <w:rPr>
          <w:rFonts w:ascii="Calibri" w:cs="Calibri" w:eastAsia="Calibri" w:hAnsi="Calibri"/>
          <w:sz w:val="20"/>
          <w:szCs w:val="20"/>
        </w:rPr>
        <w:t xml:space="preserve">Please describe every channel through which a staff member at your practice can ask a compliance question or report a suspected violation, including supervisor, Compliance Officer, committee member, board member, hotline and anonymous email, and explain what happens from the moment a report is received: who forwards it, who is prohibited from investigating, how anonymity and confidentiality are protected, and how non-retaliation is enforced.</w:t>
      </w:r>
    </w:p>
    <w:p>
      <w:pPr>
        <w:pStyle w:val="ListParagraph"/>
        <w:numPr>
          <w:ilvl w:val="0"/>
          <w:numId w:val="2"/>
        </w:numPr>
        <w:spacing w:after="40" w:line="250"/>
      </w:pPr>
      <w:r>
        <w:rPr>
          <w:rFonts w:ascii="Calibri" w:cs="Calibri" w:eastAsia="Calibri" w:hAnsi="Calibri"/>
          <w:color w:val="595959"/>
          <w:sz w:val="19"/>
          <w:szCs w:val="19"/>
        </w:rPr>
        <w:t xml:space="preserve">Identify the hotline number, anonymous email or vendor and who monitors it.</w:t>
      </w:r>
    </w:p>
    <w:p>
      <w:pPr>
        <w:pStyle w:val="ListParagraph"/>
        <w:numPr>
          <w:ilvl w:val="0"/>
          <w:numId w:val="2"/>
        </w:numPr>
        <w:spacing w:after="40" w:line="250"/>
      </w:pPr>
      <w:r>
        <w:rPr>
          <w:rFonts w:ascii="Calibri" w:cs="Calibri" w:eastAsia="Calibri" w:hAnsi="Calibri"/>
          <w:color w:val="595959"/>
          <w:sz w:val="19"/>
          <w:szCs w:val="19"/>
        </w:rPr>
        <w:t xml:space="preserve">Name where reports and questions are logged and how long records are retained.</w:t>
      </w:r>
    </w:p>
    <w:p>
      <w:pPr>
        <w:pStyle w:val="ListParagraph"/>
        <w:numPr>
          <w:ilvl w:val="0"/>
          <w:numId w:val="2"/>
        </w:numPr>
        <w:spacing w:after="40" w:line="250"/>
      </w:pPr>
      <w:r>
        <w:rPr>
          <w:rFonts w:ascii="Calibri" w:cs="Calibri" w:eastAsia="Calibri" w:hAnsi="Calibri"/>
          <w:color w:val="595959"/>
          <w:sz w:val="19"/>
          <w:szCs w:val="19"/>
        </w:rPr>
        <w:t xml:space="preserve">State the timeframe for acknowledging a report and notifying management or the board.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CMP-09  </w:t>
      </w:r>
      <w:r>
        <w:rPr>
          <w:rFonts w:ascii="Calibri" w:cs="Calibri" w:eastAsia="Calibri" w:hAnsi="Calibri"/>
          <w:b/>
          <w:bCs/>
          <w:color w:val="1F3864"/>
          <w:sz w:val="22"/>
          <w:szCs w:val="22"/>
        </w:rPr>
        <w:t xml:space="preserve">Auditing and Monitoring</w:t>
      </w:r>
      <w:r>
        <w:rPr>
          <w:sz w:val="18"/>
          <w:szCs w:val="18"/>
        </w:rPr>
        <w:ptab w:alignment="right" w:relativeTo="margin" w:leader="dot"/>
      </w:r>
      <w:r>
        <w:rPr>
          <w:rFonts w:ascii="Calibri" w:cs="Calibri" w:eastAsia="Calibri" w:hAnsi="Calibri"/>
          <w:color w:val="2E5C8A"/>
          <w:sz w:val="18"/>
          <w:szCs w:val="18"/>
        </w:rPr>
        <w:t xml:space="preserve">Manual pp. 26–28</w:t>
      </w:r>
    </w:p>
    <w:p>
      <w:pPr>
        <w:spacing w:after="80" w:before="60" w:line="260"/>
      </w:pPr>
      <w:r>
        <w:rPr>
          <w:rFonts w:ascii="Calibri" w:cs="Calibri" w:eastAsia="Calibri" w:hAnsi="Calibri"/>
          <w:sz w:val="20"/>
          <w:szCs w:val="20"/>
        </w:rPr>
        <w:t xml:space="preserve">Please describe your practice's auditing and monitoring workplan for the current year, naming each audit type performed such as coding and billing accuracy, clinical documentation, medical necessity, claim denials, referral source contracts and annual risk assessment, and identify for each how many claims or charts are pulled per provider per cycle, who performs the review, and how findings are scored, reported and re-audited.</w:t>
      </w:r>
    </w:p>
    <w:p>
      <w:pPr>
        <w:pStyle w:val="ListParagraph"/>
        <w:numPr>
          <w:ilvl w:val="0"/>
          <w:numId w:val="2"/>
        </w:numPr>
        <w:spacing w:after="40" w:line="250"/>
      </w:pPr>
      <w:r>
        <w:rPr>
          <w:rFonts w:ascii="Calibri" w:cs="Calibri" w:eastAsia="Calibri" w:hAnsi="Calibri"/>
          <w:color w:val="595959"/>
          <w:sz w:val="19"/>
          <w:szCs w:val="19"/>
        </w:rPr>
        <w:t xml:space="preserve">Name the internal reviewer or external auditing vendor used for each audit type.</w:t>
      </w:r>
    </w:p>
    <w:p>
      <w:pPr>
        <w:pStyle w:val="ListParagraph"/>
        <w:numPr>
          <w:ilvl w:val="0"/>
          <w:numId w:val="2"/>
        </w:numPr>
        <w:spacing w:after="40" w:line="250"/>
      </w:pPr>
      <w:r>
        <w:rPr>
          <w:rFonts w:ascii="Calibri" w:cs="Calibri" w:eastAsia="Calibri" w:hAnsi="Calibri"/>
          <w:color w:val="595959"/>
          <w:sz w:val="19"/>
          <w:szCs w:val="19"/>
        </w:rPr>
        <w:t xml:space="preserve">State sample size per provider per cycle and whether audits run monthly, quarterly or annually.</w:t>
      </w:r>
    </w:p>
    <w:p>
      <w:pPr>
        <w:pStyle w:val="ListParagraph"/>
        <w:numPr>
          <w:ilvl w:val="0"/>
          <w:numId w:val="2"/>
        </w:numPr>
        <w:spacing w:after="40" w:line="250"/>
      </w:pPr>
      <w:r>
        <w:rPr>
          <w:rFonts w:ascii="Calibri" w:cs="Calibri" w:eastAsia="Calibri" w:hAnsi="Calibri"/>
          <w:color w:val="595959"/>
          <w:sz w:val="19"/>
          <w:szCs w:val="19"/>
        </w:rPr>
        <w:t xml:space="preserve">Describe how error rates trigger re-education, expanded samples and refund of overpayments.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CMP-10  </w:t>
      </w:r>
      <w:r>
        <w:rPr>
          <w:rFonts w:ascii="Calibri" w:cs="Calibri" w:eastAsia="Calibri" w:hAnsi="Calibri"/>
          <w:b/>
          <w:bCs/>
          <w:color w:val="1F3864"/>
          <w:sz w:val="22"/>
          <w:szCs w:val="22"/>
        </w:rPr>
        <w:t xml:space="preserve">Investigation and Response</w:t>
      </w:r>
      <w:r>
        <w:rPr>
          <w:sz w:val="18"/>
          <w:szCs w:val="18"/>
        </w:rPr>
        <w:ptab w:alignment="right" w:relativeTo="margin" w:leader="dot"/>
      </w:r>
      <w:r>
        <w:rPr>
          <w:rFonts w:ascii="Calibri" w:cs="Calibri" w:eastAsia="Calibri" w:hAnsi="Calibri"/>
          <w:color w:val="2E5C8A"/>
          <w:sz w:val="18"/>
          <w:szCs w:val="18"/>
        </w:rPr>
        <w:t xml:space="preserve">Manual pp. 29–30</w:t>
      </w:r>
    </w:p>
    <w:p>
      <w:pPr>
        <w:spacing w:after="80" w:before="60" w:line="260"/>
      </w:pPr>
      <w:r>
        <w:rPr>
          <w:rFonts w:ascii="Calibri" w:cs="Calibri" w:eastAsia="Calibri" w:hAnsi="Calibri"/>
          <w:sz w:val="20"/>
          <w:szCs w:val="20"/>
        </w:rPr>
        <w:t xml:space="preserve">Please describe how your practice investigates a reported compliance concern from intake through closure, including who is assigned and who is recused, how claims data, records, policies and witness statements are gathered, how the final report and recommended corrective actions are prepared, and how the sixty-day report and repayment deadline is tracked once an overpayment is confirmed.</w:t>
      </w:r>
    </w:p>
    <w:p>
      <w:pPr>
        <w:pStyle w:val="ListParagraph"/>
        <w:numPr>
          <w:ilvl w:val="0"/>
          <w:numId w:val="2"/>
        </w:numPr>
        <w:spacing w:after="40" w:line="250"/>
      </w:pPr>
      <w:r>
        <w:rPr>
          <w:rFonts w:ascii="Calibri" w:cs="Calibri" w:eastAsia="Calibri" w:hAnsi="Calibri"/>
          <w:color w:val="595959"/>
          <w:sz w:val="19"/>
          <w:szCs w:val="19"/>
        </w:rPr>
        <w:t xml:space="preserve">Name who leads investigations and who steps in on a conflict of interest.</w:t>
      </w:r>
    </w:p>
    <w:p>
      <w:pPr>
        <w:pStyle w:val="ListParagraph"/>
        <w:numPr>
          <w:ilvl w:val="0"/>
          <w:numId w:val="2"/>
        </w:numPr>
        <w:spacing w:after="40" w:line="250"/>
      </w:pPr>
      <w:r>
        <w:rPr>
          <w:rFonts w:ascii="Calibri" w:cs="Calibri" w:eastAsia="Calibri" w:hAnsi="Calibri"/>
          <w:color w:val="595959"/>
          <w:sz w:val="19"/>
          <w:szCs w:val="19"/>
        </w:rPr>
        <w:t xml:space="preserve">Identify the secure investigation file location and the report template used.</w:t>
      </w:r>
    </w:p>
    <w:p>
      <w:pPr>
        <w:pStyle w:val="ListParagraph"/>
        <w:numPr>
          <w:ilvl w:val="0"/>
          <w:numId w:val="2"/>
        </w:numPr>
        <w:spacing w:after="40" w:line="250"/>
      </w:pPr>
      <w:r>
        <w:rPr>
          <w:rFonts w:ascii="Calibri" w:cs="Calibri" w:eastAsia="Calibri" w:hAnsi="Calibri"/>
          <w:color w:val="595959"/>
          <w:sz w:val="19"/>
          <w:szCs w:val="19"/>
        </w:rPr>
        <w:t xml:space="preserve">State your target days to closure and how payer refunds are triggered and verified.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CMP-11  </w:t>
      </w:r>
      <w:r>
        <w:rPr>
          <w:rFonts w:ascii="Calibri" w:cs="Calibri" w:eastAsia="Calibri" w:hAnsi="Calibri"/>
          <w:b/>
          <w:bCs/>
          <w:color w:val="1F3864"/>
          <w:sz w:val="22"/>
          <w:szCs w:val="22"/>
        </w:rPr>
        <w:t xml:space="preserve">Medical Necessity</w:t>
      </w:r>
      <w:r>
        <w:rPr>
          <w:sz w:val="18"/>
          <w:szCs w:val="18"/>
        </w:rPr>
        <w:ptab w:alignment="right" w:relativeTo="margin" w:leader="dot"/>
      </w:r>
      <w:r>
        <w:rPr>
          <w:rFonts w:ascii="Calibri" w:cs="Calibri" w:eastAsia="Calibri" w:hAnsi="Calibri"/>
          <w:color w:val="2E5C8A"/>
          <w:sz w:val="18"/>
          <w:szCs w:val="18"/>
        </w:rPr>
        <w:t xml:space="preserve">Manual p. 31</w:t>
      </w:r>
    </w:p>
    <w:p>
      <w:pPr>
        <w:spacing w:after="80" w:before="60" w:line="260"/>
      </w:pPr>
      <w:r>
        <w:rPr>
          <w:rFonts w:ascii="Calibri" w:cs="Calibri" w:eastAsia="Calibri" w:hAnsi="Calibri"/>
          <w:sz w:val="20"/>
          <w:szCs w:val="20"/>
        </w:rPr>
        <w:t xml:space="preserve">Please describe how your practice confirms medical necessity before laboratory tests and diagnostic procedures are performed, including how orders are received and matched to a narrative diagnosis or diagnosis code, how panels and standing orders are handled, how screening tests are separated from diagnosis-related testing for Medicare patients, and how patients are notified in writing and accept financial responsibility when coverage is unlikely.</w:t>
      </w:r>
    </w:p>
    <w:p>
      <w:pPr>
        <w:pStyle w:val="ListParagraph"/>
        <w:numPr>
          <w:ilvl w:val="0"/>
          <w:numId w:val="2"/>
        </w:numPr>
        <w:spacing w:after="40" w:line="250"/>
      </w:pPr>
      <w:r>
        <w:rPr>
          <w:rFonts w:ascii="Calibri" w:cs="Calibri" w:eastAsia="Calibri" w:hAnsi="Calibri"/>
          <w:color w:val="595959"/>
          <w:sz w:val="19"/>
          <w:szCs w:val="19"/>
        </w:rPr>
        <w:t xml:space="preserve">Name who reviews orders lacking a diagnosis and who contacts the ordering physician.</w:t>
      </w:r>
    </w:p>
    <w:p>
      <w:pPr>
        <w:pStyle w:val="ListParagraph"/>
        <w:numPr>
          <w:ilvl w:val="0"/>
          <w:numId w:val="2"/>
        </w:numPr>
        <w:spacing w:after="40" w:line="250"/>
      </w:pPr>
      <w:r>
        <w:rPr>
          <w:rFonts w:ascii="Calibri" w:cs="Calibri" w:eastAsia="Calibri" w:hAnsi="Calibri"/>
          <w:color w:val="595959"/>
          <w:sz w:val="19"/>
          <w:szCs w:val="19"/>
        </w:rPr>
        <w:t xml:space="preserve">Identify the form and system used for advance beneficiary notices and where signed copies live.</w:t>
      </w:r>
    </w:p>
    <w:p>
      <w:pPr>
        <w:pStyle w:val="ListParagraph"/>
        <w:numPr>
          <w:ilvl w:val="0"/>
          <w:numId w:val="2"/>
        </w:numPr>
        <w:spacing w:after="40" w:line="250"/>
      </w:pPr>
      <w:r>
        <w:rPr>
          <w:rFonts w:ascii="Calibri" w:cs="Calibri" w:eastAsia="Calibri" w:hAnsi="Calibri"/>
          <w:color w:val="595959"/>
          <w:sz w:val="19"/>
          <w:szCs w:val="19"/>
        </w:rPr>
        <w:t xml:space="preserve">State how often physicians receive the medical necessity policy and laboratory profile components.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CMP-12  </w:t>
      </w:r>
      <w:r>
        <w:rPr>
          <w:rFonts w:ascii="Calibri" w:cs="Calibri" w:eastAsia="Calibri" w:hAnsi="Calibri"/>
          <w:b/>
          <w:bCs/>
          <w:color w:val="1F3864"/>
          <w:sz w:val="22"/>
          <w:szCs w:val="22"/>
        </w:rPr>
        <w:t xml:space="preserve">Billing Responsibilities</w:t>
      </w:r>
      <w:r>
        <w:rPr>
          <w:sz w:val="18"/>
          <w:szCs w:val="18"/>
        </w:rPr>
        <w:ptab w:alignment="right" w:relativeTo="margin" w:leader="dot"/>
      </w:r>
      <w:r>
        <w:rPr>
          <w:rFonts w:ascii="Calibri" w:cs="Calibri" w:eastAsia="Calibri" w:hAnsi="Calibri"/>
          <w:color w:val="2E5C8A"/>
          <w:sz w:val="18"/>
          <w:szCs w:val="18"/>
        </w:rPr>
        <w:t xml:space="preserve">Manual pp. 32–33</w:t>
      </w:r>
    </w:p>
    <w:p>
      <w:pPr>
        <w:spacing w:after="80" w:before="60" w:line="260"/>
      </w:pPr>
      <w:r>
        <w:rPr>
          <w:rFonts w:ascii="Calibri" w:cs="Calibri" w:eastAsia="Calibri" w:hAnsi="Calibri"/>
          <w:sz w:val="20"/>
          <w:szCs w:val="20"/>
        </w:rPr>
        <w:t xml:space="preserve">Please describe your practice's claim production workflow from patient encounter to claim submission, identifying who assigns codes, who verifies them against documentation and the order, who releases claims, how a coding question travels from coder to supervisor to ordering practitioner to Compliance Officer, and how rejections, denials and unbundling issues are worked and trended.</w:t>
      </w:r>
    </w:p>
    <w:p>
      <w:pPr>
        <w:pStyle w:val="ListParagraph"/>
        <w:numPr>
          <w:ilvl w:val="0"/>
          <w:numId w:val="2"/>
        </w:numPr>
        <w:spacing w:after="40" w:line="250"/>
      </w:pPr>
      <w:r>
        <w:rPr>
          <w:rFonts w:ascii="Calibri" w:cs="Calibri" w:eastAsia="Calibri" w:hAnsi="Calibri"/>
          <w:color w:val="595959"/>
          <w:sz w:val="19"/>
          <w:szCs w:val="19"/>
        </w:rPr>
        <w:t xml:space="preserve">Name your practice management and billing systems and any outsourced billing company.</w:t>
      </w:r>
    </w:p>
    <w:p>
      <w:pPr>
        <w:pStyle w:val="ListParagraph"/>
        <w:numPr>
          <w:ilvl w:val="0"/>
          <w:numId w:val="2"/>
        </w:numPr>
        <w:spacing w:after="40" w:line="250"/>
      </w:pPr>
      <w:r>
        <w:rPr>
          <w:rFonts w:ascii="Calibri" w:cs="Calibri" w:eastAsia="Calibri" w:hAnsi="Calibri"/>
          <w:color w:val="595959"/>
          <w:sz w:val="19"/>
          <w:szCs w:val="19"/>
        </w:rPr>
        <w:t xml:space="preserve">Identify who reviews payer bulletins and the annual CPT and HCPCS update, and how changes reach providers.</w:t>
      </w:r>
    </w:p>
    <w:p>
      <w:pPr>
        <w:pStyle w:val="ListParagraph"/>
        <w:numPr>
          <w:ilvl w:val="0"/>
          <w:numId w:val="2"/>
        </w:numPr>
        <w:spacing w:after="40" w:line="250"/>
      </w:pPr>
      <w:r>
        <w:rPr>
          <w:rFonts w:ascii="Calibri" w:cs="Calibri" w:eastAsia="Calibri" w:hAnsi="Calibri"/>
          <w:color w:val="595959"/>
          <w:sz w:val="19"/>
          <w:szCs w:val="19"/>
        </w:rPr>
        <w:t xml:space="preserve">State where coding transmittals and rejection logs are stored and for how long.</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CMP-13  </w:t>
      </w:r>
      <w:r>
        <w:rPr>
          <w:rFonts w:ascii="Calibri" w:cs="Calibri" w:eastAsia="Calibri" w:hAnsi="Calibri"/>
          <w:b/>
          <w:bCs/>
          <w:color w:val="1F3864"/>
          <w:sz w:val="22"/>
          <w:szCs w:val="22"/>
        </w:rPr>
        <w:t xml:space="preserve">Out of Network Billing Requirements for Medicare and Medicaid Programs</w:t>
      </w:r>
      <w:r>
        <w:rPr>
          <w:sz w:val="18"/>
          <w:szCs w:val="18"/>
        </w:rPr>
        <w:ptab w:alignment="right" w:relativeTo="margin" w:leader="dot"/>
      </w:r>
      <w:r>
        <w:rPr>
          <w:rFonts w:ascii="Calibri" w:cs="Calibri" w:eastAsia="Calibri" w:hAnsi="Calibri"/>
          <w:color w:val="2E5C8A"/>
          <w:sz w:val="18"/>
          <w:szCs w:val="18"/>
        </w:rPr>
        <w:t xml:space="preserve">Manual p. 36</w:t>
      </w:r>
    </w:p>
    <w:p>
      <w:pPr>
        <w:spacing w:after="80" w:before="60" w:line="260"/>
      </w:pPr>
      <w:r>
        <w:rPr>
          <w:rFonts w:ascii="Calibri" w:cs="Calibri" w:eastAsia="Calibri" w:hAnsi="Calibri"/>
          <w:sz w:val="20"/>
          <w:szCs w:val="20"/>
        </w:rPr>
        <w:t xml:space="preserve">Please identify which of your practice's providers and locations are out of network with any Medicare Advantage organization or Medicaid managed care plan, and describe how scheduling, front office, billing and compliance staff handle those patients, including how plan type and participation status are verified, how out-of-network status is flagged in the record, when the standard notice and consent documents are issued, and how claims are routed by coverage type.</w:t>
      </w:r>
    </w:p>
    <w:p>
      <w:pPr>
        <w:pStyle w:val="ListParagraph"/>
        <w:numPr>
          <w:ilvl w:val="0"/>
          <w:numId w:val="2"/>
        </w:numPr>
        <w:spacing w:after="40" w:line="250"/>
      </w:pPr>
      <w:r>
        <w:rPr>
          <w:rFonts w:ascii="Calibri" w:cs="Calibri" w:eastAsia="Calibri" w:hAnsi="Calibri"/>
          <w:color w:val="595959"/>
          <w:sz w:val="19"/>
          <w:szCs w:val="19"/>
        </w:rPr>
        <w:t xml:space="preserve">List the payers, plan types and states where your providers are non-participating.</w:t>
      </w:r>
    </w:p>
    <w:p>
      <w:pPr>
        <w:pStyle w:val="ListParagraph"/>
        <w:numPr>
          <w:ilvl w:val="0"/>
          <w:numId w:val="2"/>
        </w:numPr>
        <w:spacing w:after="40" w:line="250"/>
      </w:pPr>
      <w:r>
        <w:rPr>
          <w:rFonts w:ascii="Calibri" w:cs="Calibri" w:eastAsia="Calibri" w:hAnsi="Calibri"/>
          <w:color w:val="595959"/>
          <w:sz w:val="19"/>
          <w:szCs w:val="19"/>
        </w:rPr>
        <w:t xml:space="preserve">Name who issues and explains the notice and consent forms and where signed copies are filed.</w:t>
      </w:r>
    </w:p>
    <w:p>
      <w:pPr>
        <w:pStyle w:val="ListParagraph"/>
        <w:numPr>
          <w:ilvl w:val="0"/>
          <w:numId w:val="2"/>
        </w:numPr>
        <w:spacing w:after="40" w:line="250"/>
      </w:pPr>
      <w:r>
        <w:rPr>
          <w:rFonts w:ascii="Calibri" w:cs="Calibri" w:eastAsia="Calibri" w:hAnsi="Calibri"/>
          <w:color w:val="595959"/>
          <w:sz w:val="19"/>
          <w:szCs w:val="19"/>
        </w:rPr>
        <w:t xml:space="preserve">State how the 72-hour, same-day and three-hour timing rules are tracked and audited.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CMP-14  </w:t>
      </w:r>
      <w:r>
        <w:rPr>
          <w:rFonts w:ascii="Calibri" w:cs="Calibri" w:eastAsia="Calibri" w:hAnsi="Calibri"/>
          <w:b/>
          <w:bCs/>
          <w:color w:val="1F3864"/>
          <w:sz w:val="22"/>
          <w:szCs w:val="22"/>
        </w:rPr>
        <w:t xml:space="preserve">Ineligible Persons</w:t>
      </w:r>
      <w:r>
        <w:rPr>
          <w:sz w:val="18"/>
          <w:szCs w:val="18"/>
        </w:rPr>
        <w:ptab w:alignment="right" w:relativeTo="margin" w:leader="dot"/>
      </w:r>
      <w:r>
        <w:rPr>
          <w:rFonts w:ascii="Calibri" w:cs="Calibri" w:eastAsia="Calibri" w:hAnsi="Calibri"/>
          <w:color w:val="2E5C8A"/>
          <w:sz w:val="18"/>
          <w:szCs w:val="18"/>
        </w:rPr>
        <w:t xml:space="preserve">Manual p. 37</w:t>
      </w:r>
    </w:p>
    <w:p>
      <w:pPr>
        <w:spacing w:after="80" w:before="60" w:line="260"/>
      </w:pPr>
      <w:r>
        <w:rPr>
          <w:rFonts w:ascii="Calibri" w:cs="Calibri" w:eastAsia="Calibri" w:hAnsi="Calibri"/>
          <w:sz w:val="20"/>
          <w:szCs w:val="20"/>
        </w:rPr>
        <w:t xml:space="preserve">Please describe how your practice screens employees, physicians, contracted and locum providers, temporary staff, vendors and agents for exclusion, debarment and ineligibility, identifying which lists and databases are searched, whether screening happens before hire or contracting and on what recurring schedule thereafter, who runs the search, and what steps follow a potential name match.</w:t>
      </w:r>
    </w:p>
    <w:p>
      <w:pPr>
        <w:pStyle w:val="ListParagraph"/>
        <w:numPr>
          <w:ilvl w:val="0"/>
          <w:numId w:val="2"/>
        </w:numPr>
        <w:spacing w:after="40" w:line="250"/>
      </w:pPr>
      <w:r>
        <w:rPr>
          <w:rFonts w:ascii="Calibri" w:cs="Calibri" w:eastAsia="Calibri" w:hAnsi="Calibri"/>
          <w:color w:val="595959"/>
          <w:sz w:val="19"/>
          <w:szCs w:val="19"/>
        </w:rPr>
        <w:t xml:space="preserve">Name every list checked, including federal exclusion, debarment, state Medicaid and practitioner databases.</w:t>
      </w:r>
    </w:p>
    <w:p>
      <w:pPr>
        <w:pStyle w:val="ListParagraph"/>
        <w:numPr>
          <w:ilvl w:val="0"/>
          <w:numId w:val="2"/>
        </w:numPr>
        <w:spacing w:after="40" w:line="250"/>
      </w:pPr>
      <w:r>
        <w:rPr>
          <w:rFonts w:ascii="Calibri" w:cs="Calibri" w:eastAsia="Calibri" w:hAnsi="Calibri"/>
          <w:color w:val="595959"/>
          <w:sz w:val="19"/>
          <w:szCs w:val="19"/>
        </w:rPr>
        <w:t xml:space="preserve">Identify the screening vendor or portal and where dated screening evidence is retained.</w:t>
      </w:r>
    </w:p>
    <w:p>
      <w:pPr>
        <w:pStyle w:val="ListParagraph"/>
        <w:numPr>
          <w:ilvl w:val="0"/>
          <w:numId w:val="2"/>
        </w:numPr>
        <w:spacing w:after="40" w:line="250"/>
      </w:pPr>
      <w:r>
        <w:rPr>
          <w:rFonts w:ascii="Calibri" w:cs="Calibri" w:eastAsia="Calibri" w:hAnsi="Calibri"/>
          <w:color w:val="595959"/>
          <w:sz w:val="19"/>
          <w:szCs w:val="19"/>
        </w:rPr>
        <w:t xml:space="preserve">State the recurring screening interval and who resolves a match before termination.</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CMP-15  </w:t>
      </w:r>
      <w:r>
        <w:rPr>
          <w:rFonts w:ascii="Calibri" w:cs="Calibri" w:eastAsia="Calibri" w:hAnsi="Calibri"/>
          <w:b/>
          <w:bCs/>
          <w:color w:val="1F3864"/>
          <w:sz w:val="22"/>
          <w:szCs w:val="22"/>
        </w:rPr>
        <w:t xml:space="preserve">Disciplinary Action and Prevention</w:t>
      </w:r>
      <w:r>
        <w:rPr>
          <w:sz w:val="18"/>
          <w:szCs w:val="18"/>
        </w:rPr>
        <w:ptab w:alignment="right" w:relativeTo="margin" w:leader="dot"/>
      </w:r>
      <w:r>
        <w:rPr>
          <w:rFonts w:ascii="Calibri" w:cs="Calibri" w:eastAsia="Calibri" w:hAnsi="Calibri"/>
          <w:color w:val="2E5C8A"/>
          <w:sz w:val="18"/>
          <w:szCs w:val="18"/>
        </w:rPr>
        <w:t xml:space="preserve">Manual pp. 38–40</w:t>
      </w:r>
    </w:p>
    <w:p>
      <w:pPr>
        <w:spacing w:after="80" w:before="60" w:line="260"/>
      </w:pPr>
      <w:r>
        <w:rPr>
          <w:rFonts w:ascii="Calibri" w:cs="Calibri" w:eastAsia="Calibri" w:hAnsi="Calibri"/>
          <w:sz w:val="20"/>
          <w:szCs w:val="20"/>
        </w:rPr>
        <w:t xml:space="preserve">Please describe how compliance-related discipline is decided and delivered at your practice, including who determines the appropriate sanction and who must approve it, how aggravating and mitigating factors are weighed and written down, who attends the meeting at which discipline is announced, and how the disciplinary report is filed and forwarded to the Compliance Committee chairperson.</w:t>
      </w:r>
    </w:p>
    <w:p>
      <w:pPr>
        <w:pStyle w:val="ListParagraph"/>
        <w:numPr>
          <w:ilvl w:val="0"/>
          <w:numId w:val="2"/>
        </w:numPr>
        <w:spacing w:after="40" w:line="250"/>
      </w:pPr>
      <w:r>
        <w:rPr>
          <w:rFonts w:ascii="Calibri" w:cs="Calibri" w:eastAsia="Calibri" w:hAnsi="Calibri"/>
          <w:color w:val="595959"/>
          <w:sz w:val="19"/>
          <w:szCs w:val="19"/>
        </w:rPr>
        <w:t xml:space="preserve">Name the roles that review and approve a sanction before it is issued.</w:t>
      </w:r>
    </w:p>
    <w:p>
      <w:pPr>
        <w:pStyle w:val="ListParagraph"/>
        <w:numPr>
          <w:ilvl w:val="0"/>
          <w:numId w:val="2"/>
        </w:numPr>
        <w:spacing w:after="40" w:line="250"/>
      </w:pPr>
      <w:r>
        <w:rPr>
          <w:rFonts w:ascii="Calibri" w:cs="Calibri" w:eastAsia="Calibri" w:hAnsi="Calibri"/>
          <w:color w:val="595959"/>
          <w:sz w:val="19"/>
          <w:szCs w:val="19"/>
        </w:rPr>
        <w:t xml:space="preserve">Identify the disciplinary report form and the personnel file where it is retained.</w:t>
      </w:r>
    </w:p>
    <w:p>
      <w:pPr>
        <w:pStyle w:val="ListParagraph"/>
        <w:numPr>
          <w:ilvl w:val="0"/>
          <w:numId w:val="2"/>
        </w:numPr>
        <w:spacing w:after="40" w:line="250"/>
      </w:pPr>
      <w:r>
        <w:rPr>
          <w:rFonts w:ascii="Calibri" w:cs="Calibri" w:eastAsia="Calibri" w:hAnsi="Calibri"/>
          <w:color w:val="595959"/>
          <w:sz w:val="19"/>
          <w:szCs w:val="19"/>
        </w:rPr>
        <w:t xml:space="preserve">State how two-person attendance is ensured and how consistency across cases is reviewed.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CMP-16  </w:t>
      </w:r>
      <w:r>
        <w:rPr>
          <w:rFonts w:ascii="Calibri" w:cs="Calibri" w:eastAsia="Calibri" w:hAnsi="Calibri"/>
          <w:b/>
          <w:bCs/>
          <w:color w:val="1F3864"/>
          <w:sz w:val="22"/>
          <w:szCs w:val="22"/>
        </w:rPr>
        <w:t xml:space="preserve">Responding to Government Investigations</w:t>
      </w:r>
      <w:r>
        <w:rPr>
          <w:sz w:val="18"/>
          <w:szCs w:val="18"/>
        </w:rPr>
        <w:ptab w:alignment="right" w:relativeTo="margin" w:leader="dot"/>
      </w:r>
      <w:r>
        <w:rPr>
          <w:rFonts w:ascii="Calibri" w:cs="Calibri" w:eastAsia="Calibri" w:hAnsi="Calibri"/>
          <w:color w:val="2E5C8A"/>
          <w:sz w:val="18"/>
          <w:szCs w:val="18"/>
        </w:rPr>
        <w:t xml:space="preserve">Manual p. 41</w:t>
      </w:r>
    </w:p>
    <w:p>
      <w:pPr>
        <w:spacing w:after="80" w:before="60" w:line="260"/>
      </w:pPr>
      <w:r>
        <w:rPr>
          <w:rFonts w:ascii="Calibri" w:cs="Calibri" w:eastAsia="Calibri" w:hAnsi="Calibri"/>
          <w:sz w:val="20"/>
          <w:szCs w:val="20"/>
        </w:rPr>
        <w:t xml:space="preserve">Please describe exactly what your practice's staff do when a government investigator, agent or surveyor arrives at a location or contacts an employee by phone or at home, including who must be notified first, who greets and escorts the visitor, who is authorized to speak for the practice, and how credentials, search warrants, subpoenas and document requests are recorded and answered while protecting patient confidentiality.</w:t>
      </w:r>
    </w:p>
    <w:p>
      <w:pPr>
        <w:pStyle w:val="ListParagraph"/>
        <w:numPr>
          <w:ilvl w:val="0"/>
          <w:numId w:val="2"/>
        </w:numPr>
        <w:spacing w:after="40" w:line="250"/>
      </w:pPr>
      <w:r>
        <w:rPr>
          <w:rFonts w:ascii="Calibri" w:cs="Calibri" w:eastAsia="Calibri" w:hAnsi="Calibri"/>
          <w:color w:val="595959"/>
          <w:sz w:val="19"/>
          <w:szCs w:val="19"/>
        </w:rPr>
        <w:t xml:space="preserve">Name the primary and backup contacts staff must call, including after-hours numbers.</w:t>
      </w:r>
    </w:p>
    <w:p>
      <w:pPr>
        <w:pStyle w:val="ListParagraph"/>
        <w:numPr>
          <w:ilvl w:val="0"/>
          <w:numId w:val="2"/>
        </w:numPr>
        <w:spacing w:after="40" w:line="250"/>
      </w:pPr>
      <w:r>
        <w:rPr>
          <w:rFonts w:ascii="Calibri" w:cs="Calibri" w:eastAsia="Calibri" w:hAnsi="Calibri"/>
          <w:color w:val="595959"/>
          <w:sz w:val="19"/>
          <w:szCs w:val="19"/>
        </w:rPr>
        <w:t xml:space="preserve">Identify where subpoenas, requests and copies of produced documents are logged and retained.</w:t>
      </w:r>
    </w:p>
    <w:p>
      <w:pPr>
        <w:pStyle w:val="ListParagraph"/>
        <w:numPr>
          <w:ilvl w:val="0"/>
          <w:numId w:val="2"/>
        </w:numPr>
        <w:spacing w:after="40" w:line="250"/>
      </w:pPr>
      <w:r>
        <w:rPr>
          <w:rFonts w:ascii="Calibri" w:cs="Calibri" w:eastAsia="Calibri" w:hAnsi="Calibri"/>
          <w:color w:val="595959"/>
          <w:sz w:val="19"/>
          <w:szCs w:val="19"/>
        </w:rPr>
        <w:t xml:space="preserve">State how quickly legal counsel is engaged and how affected staff are debriefed.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CMP-17  </w:t>
      </w:r>
      <w:r>
        <w:rPr>
          <w:rFonts w:ascii="Calibri" w:cs="Calibri" w:eastAsia="Calibri" w:hAnsi="Calibri"/>
          <w:b/>
          <w:bCs/>
          <w:color w:val="1F3864"/>
          <w:sz w:val="22"/>
          <w:szCs w:val="22"/>
        </w:rPr>
        <w:t xml:space="preserve">Program Effectiveness</w:t>
      </w:r>
      <w:r>
        <w:rPr>
          <w:sz w:val="18"/>
          <w:szCs w:val="18"/>
        </w:rPr>
        <w:ptab w:alignment="right" w:relativeTo="margin" w:leader="dot"/>
      </w:r>
      <w:r>
        <w:rPr>
          <w:rFonts w:ascii="Calibri" w:cs="Calibri" w:eastAsia="Calibri" w:hAnsi="Calibri"/>
          <w:color w:val="2E5C8A"/>
          <w:sz w:val="18"/>
          <w:szCs w:val="18"/>
        </w:rPr>
        <w:t xml:space="preserve">Manual p. 42</w:t>
      </w:r>
    </w:p>
    <w:p>
      <w:pPr>
        <w:spacing w:after="80" w:before="60" w:line="260"/>
      </w:pPr>
      <w:r>
        <w:rPr>
          <w:rFonts w:ascii="Calibri" w:cs="Calibri" w:eastAsia="Calibri" w:hAnsi="Calibri"/>
          <w:sz w:val="20"/>
          <w:szCs w:val="20"/>
        </w:rPr>
        <w:t xml:space="preserve">Please describe how your practice measures whether its Compliance Program is actually effective, naming the specific indicators tracked such as training completion rates, audit error rates, hotline and report volume, corrective action closure times and exclusion screening timeliness, and explain how often policies are reviewed and revised in response to regulatory change or audit findings, and how outcomes are presented to senior management and the governing board.</w:t>
      </w:r>
    </w:p>
    <w:p>
      <w:pPr>
        <w:pStyle w:val="ListParagraph"/>
        <w:numPr>
          <w:ilvl w:val="0"/>
          <w:numId w:val="2"/>
        </w:numPr>
        <w:spacing w:after="40" w:line="250"/>
      </w:pPr>
      <w:r>
        <w:rPr>
          <w:rFonts w:ascii="Calibri" w:cs="Calibri" w:eastAsia="Calibri" w:hAnsi="Calibri"/>
          <w:color w:val="595959"/>
          <w:sz w:val="19"/>
          <w:szCs w:val="19"/>
        </w:rPr>
        <w:t xml:space="preserve">Name who compiles the effectiveness measures and the report or dashboard used.</w:t>
      </w:r>
    </w:p>
    <w:p>
      <w:pPr>
        <w:pStyle w:val="ListParagraph"/>
        <w:numPr>
          <w:ilvl w:val="0"/>
          <w:numId w:val="2"/>
        </w:numPr>
        <w:spacing w:after="40" w:line="250"/>
      </w:pPr>
      <w:r>
        <w:rPr>
          <w:rFonts w:ascii="Calibri" w:cs="Calibri" w:eastAsia="Calibri" w:hAnsi="Calibri"/>
          <w:color w:val="595959"/>
          <w:sz w:val="19"/>
          <w:szCs w:val="19"/>
        </w:rPr>
        <w:t xml:space="preserve">Identify what triggers a policy revision and where version history and approvals are kept.</w:t>
      </w:r>
    </w:p>
    <w:p>
      <w:pPr>
        <w:pStyle w:val="ListParagraph"/>
        <w:numPr>
          <w:ilvl w:val="0"/>
          <w:numId w:val="2"/>
        </w:numPr>
        <w:spacing w:after="40" w:line="250"/>
      </w:pPr>
      <w:r>
        <w:rPr>
          <w:rFonts w:ascii="Calibri" w:cs="Calibri" w:eastAsia="Calibri" w:hAnsi="Calibri"/>
          <w:color w:val="595959"/>
          <w:sz w:val="19"/>
          <w:szCs w:val="19"/>
        </w:rPr>
        <w:t xml:space="preserve">State the annual review month and how board review and acceptance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spacing w:after="0" w:before="240" w:line="260"/>
      </w:pPr>
      <w:r>
        <w:rPr>
          <w:rFonts w:ascii="Calibri" w:cs="Calibri" w:eastAsia="Calibri" w:hAnsi="Calibri"/>
          <w:sz w:val="20"/>
          <w:szCs w:val="20"/>
        </w:rPr>
        <w:t xml:space="preserve"/>
      </w:r>
    </w:p>
    <w:p>
      <w:pPr>
        <w:spacing w:after="60" w:before="240" w:line="260"/>
      </w:pPr>
      <w:r>
        <w:rPr>
          <w:rFonts w:ascii="Calibri" w:cs="Calibri" w:eastAsia="Calibri" w:hAnsi="Calibri"/>
          <w:b/>
          <w:bCs/>
          <w:color w:val="1F3864"/>
          <w:sz w:val="24"/>
          <w:szCs w:val="24"/>
        </w:rPr>
        <w:t xml:space="preserve">Certification</w:t>
      </w:r>
    </w:p>
    <w:p>
      <w:pPr>
        <w:spacing w:after="160" w:before="0" w:line="260"/>
      </w:pPr>
      <w:r>
        <w:rPr>
          <w:rFonts w:ascii="Calibri" w:cs="Calibri" w:eastAsia="Calibri" w:hAnsi="Calibri"/>
          <w:sz w:val="20"/>
          <w:szCs w:val="20"/>
        </w:rPr>
        <w:t xml:space="preserve">The responses above accurately describe the current operations of this organization.</w:t>
      </w:r>
    </w:p>
    <w:p>
      <w:pPr>
        <w:spacing w:after="160" w:before="0" w:line="260"/>
      </w:pPr>
      <w:r>
        <w:rPr>
          <w:rFonts w:ascii="Calibri" w:cs="Calibri" w:eastAsia="Calibri" w:hAnsi="Calibri"/>
          <w:sz w:val="20"/>
          <w:szCs w:val="20"/>
        </w:rPr>
        <w:t xml:space="preserve">Completed by (print name): ______________________________________   Title: ______________________________</w:t>
      </w:r>
    </w:p>
    <w:p>
      <w:pPr>
        <w:spacing w:after="0" w:before="0" w:line="260"/>
      </w:pPr>
      <w:r>
        <w:rPr>
          <w:rFonts w:ascii="Calibri" w:cs="Calibri" w:eastAsia="Calibri" w:hAnsi="Calibri"/>
          <w:sz w:val="20"/>
          <w:szCs w:val="20"/>
        </w:rPr>
        <w:t xml:space="preserve">Signature: ______________________________________________________   Date: 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6"/>
        <w:szCs w:val="16"/>
      </w:rPr>
      <w:t xml:space="preserve">Compliance and Ethics Manual — Practice-Specific Workflow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2026-08-06T17:13:33.803Z</dcterms:created>
  <dcterms:modified xsi:type="dcterms:W3CDTF">2026-08-06T17:13:33.803Z</dcterms:modified>
</cp:coreProperties>
</file>

<file path=docProps/custom.xml><?xml version="1.0" encoding="utf-8"?>
<Properties xmlns="http://schemas.openxmlformats.org/officeDocument/2006/custom-properties" xmlns:vt="http://schemas.openxmlformats.org/officeDocument/2006/docPropsVTypes"/>
</file>