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TripVerse 后端 k6 压测评估报告</w:t>
      </w:r>
    </w:p>
    <w:p>
      <w:pPr>
        <w:jc w:val="center"/>
      </w:pPr>
      <w:r>
        <w:t>目标服务：http://127.0.0.1:8081/api    测试工具：k6 v2.0.0    测试日期：2026-05-14</w:t>
      </w:r>
    </w:p>
    <w:p>
      <w:pPr>
        <w:pStyle w:val="Heading1"/>
      </w:pPr>
      <w:r>
        <w:t>一、结论摘要</w:t>
      </w:r>
    </w:p>
    <w:p>
      <w:pPr>
        <w:pStyle w:val="ListBullet"/>
      </w:pPr>
      <w:r>
        <w:t>本轮按 10、200、500、1000、1200 VU 阶梯逐渐增加并发，核心读接口压测均已完成。</w:t>
      </w:r>
    </w:p>
    <w:p>
      <w:pPr>
        <w:pStyle w:val="ListBullet"/>
      </w:pPr>
      <w:r>
        <w:t>10 VU 冒烟稳定，p95 为 72.01 ms，错误率 0%。</w:t>
      </w:r>
    </w:p>
    <w:p>
      <w:pPr>
        <w:pStyle w:val="ListBullet"/>
      </w:pPr>
      <w:r>
        <w:t>从 200 VU 开始，p95 达到 2.03 s，已经超过脚本设定的 p95 &lt; 1s 性能阈值。</w:t>
      </w:r>
    </w:p>
    <w:p>
      <w:pPr>
        <w:pStyle w:val="ListBullet"/>
      </w:pPr>
      <w:r>
        <w:t>500 VU 后吞吐进入平台期，约 285-298 req/s；继续升到 1000/1200 VU，吞吐提升有限，但延迟和 EOF 失败明显增加。</w:t>
      </w:r>
    </w:p>
    <w:p>
      <w:pPr>
        <w:pStyle w:val="ListBullet"/>
      </w:pPr>
      <w:r>
        <w:t>1200 VU 下错误率 2.00%，低于 5% 可用性阈值，但 p95 为 8.79 s，最大响应约 25.85 s，不建议作为可接受生产容量。</w:t>
      </w:r>
    </w:p>
    <w:p>
      <w:pPr>
        <w:pStyle w:val="ListBullet"/>
      </w:pPr>
      <w:r>
        <w:t>按“p95 &lt; 1s 且错误率 &lt; 5%”口径，本环境的可接受并发上限低于 200 VU；按“服务不崩且错误率 &lt; 5%”口径，可顶到约 1200 VU，但用户体验较差。</w:t>
      </w:r>
    </w:p>
    <w:p>
      <w:pPr>
        <w:pStyle w:val="Heading1"/>
      </w:pPr>
      <w:r>
        <w:t>二、测试模型</w:t>
      </w:r>
    </w:p>
    <w:p>
      <w:pPr>
        <w:pStyle w:val="ListBullet"/>
      </w:pPr>
      <w:r>
        <w:t>测试脚本：loadtests/tripverse-core.js。</w:t>
      </w:r>
    </w:p>
    <w:p>
      <w:pPr>
        <w:pStyle w:val="ListBullet"/>
      </w:pPr>
      <w:r>
        <w:t>场景模型：ramping-vus 阶梯升压，每轮包含 ramp up、hold、ramp down。</w:t>
      </w:r>
    </w:p>
    <w:p>
      <w:pPr>
        <w:pStyle w:val="ListBullet"/>
      </w:pPr>
      <w:r>
        <w:t>接口覆盖：公开票务查询、票务详情、乘客个人与订单、司机行程/工作台/收入、管理员仪表盘/用户/订单/Token/风控/知识库等读接口。</w:t>
      </w:r>
    </w:p>
    <w:p>
      <w:pPr>
        <w:pStyle w:val="ListBullet"/>
      </w:pPr>
      <w:r>
        <w:t>每次业务迭代约 19 个 HTTP 请求，并包含 1 秒 sleep；setup 阶段执行乘客、司机、管理员登录并获取首个票务 ID。</w:t>
      </w:r>
    </w:p>
    <w:p>
      <w:pPr>
        <w:pStyle w:val="ListBullet"/>
      </w:pPr>
      <w:r>
        <w:t>阈值：HTTP 失败率 &lt; 5%，HTTP p95 &lt; 1000 ms。</w:t>
      </w:r>
    </w:p>
    <w:p>
      <w:pPr>
        <w:pStyle w:val="ListBullet"/>
      </w:pPr>
      <w:r>
        <w:t>后端当前代码中 database/sql 连接池最大打开连接数为 20，这对高并发读接口有明显约束。</w:t>
      </w:r>
    </w:p>
    <w:p>
      <w:pPr>
        <w:pStyle w:val="Heading1"/>
      </w:pPr>
      <w:r>
        <w:t>三、阶梯压测结果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08"/>
        <w:gridCol w:w="1008"/>
        <w:gridCol w:w="1008"/>
        <w:gridCol w:w="1008"/>
        <w:gridCol w:w="1008"/>
        <w:gridCol w:w="1008"/>
        <w:gridCol w:w="1008"/>
        <w:gridCol w:w="1008"/>
        <w:gridCol w:w="1008"/>
        <w:gridCol w:w="1008"/>
      </w:tblGrid>
      <w:tr>
        <w:tc>
          <w:tcPr>
            <w:tcW w:type="dxa" w:w="1008"/>
            <w:vAlign w:val="center"/>
            <w:shd w:fill="D9EAF7"/>
          </w:tcPr>
          <w:p>
            <w:r/>
            <w:r>
              <w:rPr>
                <w:rFonts w:ascii="Microsoft YaHei" w:hAnsi="Microsoft YaHei" w:eastAsia="微软雅黑"/>
                <w:b/>
                <w:sz w:val="18"/>
              </w:rPr>
              <w:t>阶段</w:t>
            </w:r>
          </w:p>
        </w:tc>
        <w:tc>
          <w:tcPr>
            <w:tcW w:type="dxa" w:w="1008"/>
            <w:vAlign w:val="center"/>
            <w:shd w:fill="D9EAF7"/>
          </w:tcPr>
          <w:p>
            <w:r/>
            <w:r>
              <w:rPr>
                <w:rFonts w:ascii="Microsoft YaHei" w:hAnsi="Microsoft YaHei" w:eastAsia="微软雅黑"/>
                <w:b/>
                <w:sz w:val="18"/>
              </w:rPr>
              <w:t>峰值 VU</w:t>
            </w:r>
          </w:p>
        </w:tc>
        <w:tc>
          <w:tcPr>
            <w:tcW w:type="dxa" w:w="1008"/>
            <w:vAlign w:val="center"/>
            <w:shd w:fill="D9EAF7"/>
          </w:tcPr>
          <w:p>
            <w:r/>
            <w:r>
              <w:rPr>
                <w:rFonts w:ascii="Microsoft YaHei" w:hAnsi="Microsoft YaHei" w:eastAsia="微软雅黑"/>
                <w:b/>
                <w:sz w:val="18"/>
              </w:rPr>
              <w:t>请求数</w:t>
            </w:r>
          </w:p>
        </w:tc>
        <w:tc>
          <w:tcPr>
            <w:tcW w:type="dxa" w:w="1008"/>
            <w:vAlign w:val="center"/>
            <w:shd w:fill="D9EAF7"/>
          </w:tcPr>
          <w:p>
            <w:r/>
            <w:r>
              <w:rPr>
                <w:rFonts w:ascii="Microsoft YaHei" w:hAnsi="Microsoft YaHei" w:eastAsia="微软雅黑"/>
                <w:b/>
                <w:sz w:val="18"/>
              </w:rPr>
              <w:t>吞吐 req/s</w:t>
            </w:r>
          </w:p>
        </w:tc>
        <w:tc>
          <w:tcPr>
            <w:tcW w:type="dxa" w:w="1008"/>
            <w:vAlign w:val="center"/>
            <w:shd w:fill="D9EAF7"/>
          </w:tcPr>
          <w:p>
            <w:r/>
            <w:r>
              <w:rPr>
                <w:rFonts w:ascii="Microsoft YaHei" w:hAnsi="Microsoft YaHei" w:eastAsia="微软雅黑"/>
                <w:b/>
                <w:sz w:val="18"/>
              </w:rPr>
              <w:t>平均 ms</w:t>
            </w:r>
          </w:p>
        </w:tc>
        <w:tc>
          <w:tcPr>
            <w:tcW w:type="dxa" w:w="1008"/>
            <w:vAlign w:val="center"/>
            <w:shd w:fill="D9EAF7"/>
          </w:tcPr>
          <w:p>
            <w:r/>
            <w:r>
              <w:rPr>
                <w:rFonts w:ascii="Microsoft YaHei" w:hAnsi="Microsoft YaHei" w:eastAsia="微软雅黑"/>
                <w:b/>
                <w:sz w:val="18"/>
              </w:rPr>
              <w:t>p90 ms</w:t>
            </w:r>
          </w:p>
        </w:tc>
        <w:tc>
          <w:tcPr>
            <w:tcW w:type="dxa" w:w="1008"/>
            <w:vAlign w:val="center"/>
            <w:shd w:fill="D9EAF7"/>
          </w:tcPr>
          <w:p>
            <w:r/>
            <w:r>
              <w:rPr>
                <w:rFonts w:ascii="Microsoft YaHei" w:hAnsi="Microsoft YaHei" w:eastAsia="微软雅黑"/>
                <w:b/>
                <w:sz w:val="18"/>
              </w:rPr>
              <w:t>p95 ms</w:t>
            </w:r>
          </w:p>
        </w:tc>
        <w:tc>
          <w:tcPr>
            <w:tcW w:type="dxa" w:w="1008"/>
            <w:vAlign w:val="center"/>
            <w:shd w:fill="D9EAF7"/>
          </w:tcPr>
          <w:p>
            <w:r/>
            <w:r>
              <w:rPr>
                <w:rFonts w:ascii="Microsoft YaHei" w:hAnsi="Microsoft YaHei" w:eastAsia="微软雅黑"/>
                <w:b/>
                <w:sz w:val="18"/>
              </w:rPr>
              <w:t>最大 ms</w:t>
            </w:r>
          </w:p>
        </w:tc>
        <w:tc>
          <w:tcPr>
            <w:tcW w:type="dxa" w:w="1008"/>
            <w:vAlign w:val="center"/>
            <w:shd w:fill="D9EAF7"/>
          </w:tcPr>
          <w:p>
            <w:r/>
            <w:r>
              <w:rPr>
                <w:rFonts w:ascii="Microsoft YaHei" w:hAnsi="Microsoft YaHei" w:eastAsia="微软雅黑"/>
                <w:b/>
                <w:sz w:val="18"/>
              </w:rPr>
              <w:t>失败率</w:t>
            </w:r>
          </w:p>
        </w:tc>
        <w:tc>
          <w:tcPr>
            <w:tcW w:type="dxa" w:w="1008"/>
            <w:vAlign w:val="center"/>
            <w:shd w:fill="D9EAF7"/>
          </w:tcPr>
          <w:p>
            <w:r/>
            <w:r>
              <w:rPr>
                <w:rFonts w:ascii="Microsoft YaHei" w:hAnsi="Microsoft YaHei" w:eastAsia="微软雅黑"/>
                <w:b/>
                <w:sz w:val="18"/>
              </w:rPr>
              <w:t>阈值结论</w:t>
            </w:r>
          </w:p>
        </w:tc>
      </w:tr>
      <w:tr>
        <w:tc>
          <w:tcPr>
            <w:tcW w:type="dxa" w:w="1008"/>
            <w:vAlign w:val="center"/>
          </w:tcPr>
          <w:p>
            <w:r/>
            <w:r>
              <w:rPr>
                <w:rFonts w:ascii="Microsoft YaHei" w:hAnsi="Microsoft YaHei" w:eastAsia="微软雅黑"/>
                <w:b w:val="0"/>
                <w:sz w:val="18"/>
              </w:rPr>
              <w:t>10 VU 冒烟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rFonts w:ascii="Microsoft YaHei" w:hAnsi="Microsoft YaHei" w:eastAsia="微软雅黑"/>
                <w:b w:val="0"/>
                <w:sz w:val="18"/>
              </w:rPr>
              <w:t>10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rFonts w:ascii="Microsoft YaHei" w:hAnsi="Microsoft YaHei" w:eastAsia="微软雅黑"/>
                <w:b w:val="0"/>
                <w:sz w:val="18"/>
              </w:rPr>
              <w:t>6179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rFonts w:ascii="Microsoft YaHei" w:hAnsi="Microsoft YaHei" w:eastAsia="微软雅黑"/>
                <w:b w:val="0"/>
                <w:sz w:val="18"/>
              </w:rPr>
              <w:t>111.25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rFonts w:ascii="Microsoft YaHei" w:hAnsi="Microsoft YaHei" w:eastAsia="微软雅黑"/>
                <w:b w:val="0"/>
                <w:sz w:val="18"/>
              </w:rPr>
              <w:t>17.46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rFonts w:ascii="Microsoft YaHei" w:hAnsi="Microsoft YaHei" w:eastAsia="微软雅黑"/>
                <w:b w:val="0"/>
                <w:sz w:val="18"/>
              </w:rPr>
              <w:t>51.97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rFonts w:ascii="Microsoft YaHei" w:hAnsi="Microsoft YaHei" w:eastAsia="微软雅黑"/>
                <w:b w:val="0"/>
                <w:sz w:val="18"/>
              </w:rPr>
              <w:t>72.01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rFonts w:ascii="Microsoft YaHei" w:hAnsi="Microsoft YaHei" w:eastAsia="微软雅黑"/>
                <w:b w:val="0"/>
                <w:sz w:val="18"/>
              </w:rPr>
              <w:t>300.01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rFonts w:ascii="Microsoft YaHei" w:hAnsi="Microsoft YaHei" w:eastAsia="微软雅黑"/>
                <w:b w:val="0"/>
                <w:sz w:val="18"/>
              </w:rPr>
              <w:t>0.00%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rFonts w:ascii="Microsoft YaHei" w:hAnsi="Microsoft YaHei" w:eastAsia="微软雅黑"/>
                <w:b w:val="0"/>
                <w:sz w:val="18"/>
              </w:rPr>
              <w:t>通过</w:t>
            </w:r>
          </w:p>
        </w:tc>
      </w:tr>
      <w:tr>
        <w:tc>
          <w:tcPr>
            <w:tcW w:type="dxa" w:w="1008"/>
            <w:vAlign w:val="center"/>
          </w:tcPr>
          <w:p>
            <w:r/>
            <w:r>
              <w:rPr>
                <w:rFonts w:ascii="Microsoft YaHei" w:hAnsi="Microsoft YaHei" w:eastAsia="微软雅黑"/>
                <w:b w:val="0"/>
                <w:sz w:val="18"/>
              </w:rPr>
              <w:t>200 VU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rFonts w:ascii="Microsoft YaHei" w:hAnsi="Microsoft YaHei" w:eastAsia="微软雅黑"/>
                <w:b w:val="0"/>
                <w:sz w:val="18"/>
              </w:rPr>
              <w:t>200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rFonts w:ascii="Microsoft YaHei" w:hAnsi="Microsoft YaHei" w:eastAsia="微软雅黑"/>
                <w:b w:val="0"/>
                <w:sz w:val="18"/>
              </w:rPr>
              <w:t>31240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rFonts w:ascii="Microsoft YaHei" w:hAnsi="Microsoft YaHei" w:eastAsia="微软雅黑"/>
                <w:b w:val="0"/>
                <w:sz w:val="18"/>
              </w:rPr>
              <w:t>248.19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rFonts w:ascii="Microsoft YaHei" w:hAnsi="Microsoft YaHei" w:eastAsia="微软雅黑"/>
                <w:b w:val="0"/>
                <w:sz w:val="18"/>
              </w:rPr>
              <w:t>518.96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rFonts w:ascii="Microsoft YaHei" w:hAnsi="Microsoft YaHei" w:eastAsia="微软雅黑"/>
                <w:b w:val="0"/>
                <w:sz w:val="18"/>
              </w:rPr>
              <w:t>1,646.58</w:t>
            </w:r>
          </w:p>
        </w:tc>
        <w:tc>
          <w:tcPr>
            <w:tcW w:type="dxa" w:w="1008"/>
            <w:vAlign w:val="center"/>
            <w:shd w:fill="FCE4D6"/>
          </w:tcPr>
          <w:p>
            <w:r/>
            <w:r>
              <w:rPr>
                <w:rFonts w:ascii="Microsoft YaHei" w:hAnsi="Microsoft YaHei" w:eastAsia="微软雅黑"/>
                <w:b w:val="0"/>
                <w:sz w:val="18"/>
              </w:rPr>
              <w:t>2,032.00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rFonts w:ascii="Microsoft YaHei" w:hAnsi="Microsoft YaHei" w:eastAsia="微软雅黑"/>
                <w:b w:val="0"/>
                <w:sz w:val="18"/>
              </w:rPr>
              <w:t>3,572.79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rFonts w:ascii="Microsoft YaHei" w:hAnsi="Microsoft YaHei" w:eastAsia="微软雅黑"/>
                <w:b w:val="0"/>
                <w:sz w:val="18"/>
              </w:rPr>
              <w:t>0.00%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rFonts w:ascii="Microsoft YaHei" w:hAnsi="Microsoft YaHei" w:eastAsia="微软雅黑"/>
                <w:b w:val="0"/>
                <w:sz w:val="18"/>
              </w:rPr>
              <w:t>延迟未达标</w:t>
            </w:r>
          </w:p>
        </w:tc>
      </w:tr>
      <w:tr>
        <w:tc>
          <w:tcPr>
            <w:tcW w:type="dxa" w:w="1008"/>
            <w:vAlign w:val="center"/>
          </w:tcPr>
          <w:p>
            <w:r/>
            <w:r>
              <w:rPr>
                <w:rFonts w:ascii="Microsoft YaHei" w:hAnsi="Microsoft YaHei" w:eastAsia="微软雅黑"/>
                <w:b w:val="0"/>
                <w:sz w:val="18"/>
              </w:rPr>
              <w:t>500 VU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rFonts w:ascii="Microsoft YaHei" w:hAnsi="Microsoft YaHei" w:eastAsia="微软雅黑"/>
                <w:b w:val="0"/>
                <w:sz w:val="18"/>
              </w:rPr>
              <w:t>500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rFonts w:ascii="Microsoft YaHei" w:hAnsi="Microsoft YaHei" w:eastAsia="微软雅黑"/>
                <w:b w:val="0"/>
                <w:sz w:val="18"/>
              </w:rPr>
              <w:t>40886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rFonts w:ascii="Microsoft YaHei" w:hAnsi="Microsoft YaHei" w:eastAsia="微软雅黑"/>
                <w:b w:val="0"/>
                <w:sz w:val="18"/>
              </w:rPr>
              <w:t>284.57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rFonts w:ascii="Microsoft YaHei" w:hAnsi="Microsoft YaHei" w:eastAsia="微软雅黑"/>
                <w:b w:val="0"/>
                <w:sz w:val="18"/>
              </w:rPr>
              <w:t>1,130.91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rFonts w:ascii="Microsoft YaHei" w:hAnsi="Microsoft YaHei" w:eastAsia="微软雅黑"/>
                <w:b w:val="0"/>
                <w:sz w:val="18"/>
              </w:rPr>
              <w:t>3,669.61</w:t>
            </w:r>
          </w:p>
        </w:tc>
        <w:tc>
          <w:tcPr>
            <w:tcW w:type="dxa" w:w="1008"/>
            <w:vAlign w:val="center"/>
            <w:shd w:fill="FCE4D6"/>
          </w:tcPr>
          <w:p>
            <w:r/>
            <w:r>
              <w:rPr>
                <w:rFonts w:ascii="Microsoft YaHei" w:hAnsi="Microsoft YaHei" w:eastAsia="微软雅黑"/>
                <w:b w:val="0"/>
                <w:sz w:val="18"/>
              </w:rPr>
              <w:t>4,818.39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rFonts w:ascii="Microsoft YaHei" w:hAnsi="Microsoft YaHei" w:eastAsia="微软雅黑"/>
                <w:b w:val="0"/>
                <w:sz w:val="18"/>
              </w:rPr>
              <w:t>7,079.00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rFonts w:ascii="Microsoft YaHei" w:hAnsi="Microsoft YaHei" w:eastAsia="微软雅黑"/>
                <w:b w:val="0"/>
                <w:sz w:val="18"/>
              </w:rPr>
              <w:t>0.00%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rFonts w:ascii="Microsoft YaHei" w:hAnsi="Microsoft YaHei" w:eastAsia="微软雅黑"/>
                <w:b w:val="0"/>
                <w:sz w:val="18"/>
              </w:rPr>
              <w:t>延迟未达标</w:t>
            </w:r>
          </w:p>
        </w:tc>
      </w:tr>
      <w:tr>
        <w:tc>
          <w:tcPr>
            <w:tcW w:type="dxa" w:w="1008"/>
            <w:vAlign w:val="center"/>
          </w:tcPr>
          <w:p>
            <w:r/>
            <w:r>
              <w:rPr>
                <w:rFonts w:ascii="Microsoft YaHei" w:hAnsi="Microsoft YaHei" w:eastAsia="微软雅黑"/>
                <w:b w:val="0"/>
                <w:sz w:val="18"/>
              </w:rPr>
              <w:t>1000 VU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rFonts w:ascii="Microsoft YaHei" w:hAnsi="Microsoft YaHei" w:eastAsia="微软雅黑"/>
                <w:b w:val="0"/>
                <w:sz w:val="18"/>
              </w:rPr>
              <w:t>1000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rFonts w:ascii="Microsoft YaHei" w:hAnsi="Microsoft YaHei" w:eastAsia="微软雅黑"/>
                <w:b w:val="0"/>
                <w:sz w:val="18"/>
              </w:rPr>
              <w:t>48063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rFonts w:ascii="Microsoft YaHei" w:hAnsi="Microsoft YaHei" w:eastAsia="微软雅黑"/>
                <w:b w:val="0"/>
                <w:sz w:val="18"/>
              </w:rPr>
              <w:t>291.39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rFonts w:ascii="Microsoft YaHei" w:hAnsi="Microsoft YaHei" w:eastAsia="微软雅黑"/>
                <w:b w:val="0"/>
                <w:sz w:val="18"/>
              </w:rPr>
              <w:t>2,124.64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rFonts w:ascii="Microsoft YaHei" w:hAnsi="Microsoft YaHei" w:eastAsia="微软雅黑"/>
                <w:b w:val="0"/>
                <w:sz w:val="18"/>
              </w:rPr>
              <w:t>6,121.30</w:t>
            </w:r>
          </w:p>
        </w:tc>
        <w:tc>
          <w:tcPr>
            <w:tcW w:type="dxa" w:w="1008"/>
            <w:vAlign w:val="center"/>
            <w:shd w:fill="FCE4D6"/>
          </w:tcPr>
          <w:p>
            <w:r/>
            <w:r>
              <w:rPr>
                <w:rFonts w:ascii="Microsoft YaHei" w:hAnsi="Microsoft YaHei" w:eastAsia="微软雅黑"/>
                <w:b w:val="0"/>
                <w:sz w:val="18"/>
              </w:rPr>
              <w:t>8,516.50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rFonts w:ascii="Microsoft YaHei" w:hAnsi="Microsoft YaHei" w:eastAsia="微软雅黑"/>
                <w:b w:val="0"/>
                <w:sz w:val="18"/>
              </w:rPr>
              <w:t>25,245.83</w:t>
            </w:r>
          </w:p>
        </w:tc>
        <w:tc>
          <w:tcPr>
            <w:tcW w:type="dxa" w:w="1008"/>
            <w:vAlign w:val="center"/>
            <w:shd w:fill="FFF2CC"/>
          </w:tcPr>
          <w:p>
            <w:r/>
            <w:r>
              <w:rPr>
                <w:rFonts w:ascii="Microsoft YaHei" w:hAnsi="Microsoft YaHei" w:eastAsia="微软雅黑"/>
                <w:b w:val="0"/>
                <w:sz w:val="18"/>
              </w:rPr>
              <w:t>1.02%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rFonts w:ascii="Microsoft YaHei" w:hAnsi="Microsoft YaHei" w:eastAsia="微软雅黑"/>
                <w:b w:val="0"/>
                <w:sz w:val="18"/>
              </w:rPr>
              <w:t>延迟未达标</w:t>
            </w:r>
          </w:p>
        </w:tc>
      </w:tr>
      <w:tr>
        <w:tc>
          <w:tcPr>
            <w:tcW w:type="dxa" w:w="1008"/>
            <w:vAlign w:val="center"/>
          </w:tcPr>
          <w:p>
            <w:r/>
            <w:r>
              <w:rPr>
                <w:rFonts w:ascii="Microsoft YaHei" w:hAnsi="Microsoft YaHei" w:eastAsia="微软雅黑"/>
                <w:b w:val="0"/>
                <w:sz w:val="18"/>
              </w:rPr>
              <w:t>1200 VU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rFonts w:ascii="Microsoft YaHei" w:hAnsi="Microsoft YaHei" w:eastAsia="微软雅黑"/>
                <w:b w:val="0"/>
                <w:sz w:val="18"/>
              </w:rPr>
              <w:t>1200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rFonts w:ascii="Microsoft YaHei" w:hAnsi="Microsoft YaHei" w:eastAsia="微软雅黑"/>
                <w:b w:val="0"/>
                <w:sz w:val="18"/>
              </w:rPr>
              <w:t>43277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rFonts w:ascii="Microsoft YaHei" w:hAnsi="Microsoft YaHei" w:eastAsia="微软雅黑"/>
                <w:b w:val="0"/>
                <w:sz w:val="18"/>
              </w:rPr>
              <w:t>297.96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rFonts w:ascii="Microsoft YaHei" w:hAnsi="Microsoft YaHei" w:eastAsia="微软雅黑"/>
                <w:b w:val="0"/>
                <w:sz w:val="18"/>
              </w:rPr>
              <w:t>2,370.39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rFonts w:ascii="Microsoft YaHei" w:hAnsi="Microsoft YaHei" w:eastAsia="微软雅黑"/>
                <w:b w:val="0"/>
                <w:sz w:val="18"/>
              </w:rPr>
              <w:t>6,641.11</w:t>
            </w:r>
          </w:p>
        </w:tc>
        <w:tc>
          <w:tcPr>
            <w:tcW w:type="dxa" w:w="1008"/>
            <w:vAlign w:val="center"/>
            <w:shd w:fill="FCE4D6"/>
          </w:tcPr>
          <w:p>
            <w:r/>
            <w:r>
              <w:rPr>
                <w:rFonts w:ascii="Microsoft YaHei" w:hAnsi="Microsoft YaHei" w:eastAsia="微软雅黑"/>
                <w:b w:val="0"/>
                <w:sz w:val="18"/>
              </w:rPr>
              <w:t>8,792.05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rFonts w:ascii="Microsoft YaHei" w:hAnsi="Microsoft YaHei" w:eastAsia="微软雅黑"/>
                <w:b w:val="0"/>
                <w:sz w:val="18"/>
              </w:rPr>
              <w:t>25,852.00</w:t>
            </w:r>
          </w:p>
        </w:tc>
        <w:tc>
          <w:tcPr>
            <w:tcW w:type="dxa" w:w="1008"/>
            <w:vAlign w:val="center"/>
            <w:shd w:fill="FFF2CC"/>
          </w:tcPr>
          <w:p>
            <w:r/>
            <w:r>
              <w:rPr>
                <w:rFonts w:ascii="Microsoft YaHei" w:hAnsi="Microsoft YaHei" w:eastAsia="微软雅黑"/>
                <w:b w:val="0"/>
                <w:sz w:val="18"/>
              </w:rPr>
              <w:t>2.00%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rFonts w:ascii="Microsoft YaHei" w:hAnsi="Microsoft YaHei" w:eastAsia="微软雅黑"/>
                <w:b w:val="0"/>
                <w:sz w:val="18"/>
              </w:rPr>
              <w:t>延迟未达标</w:t>
            </w:r>
          </w:p>
        </w:tc>
      </w:tr>
    </w:tbl>
    <w:p>
      <w:pPr>
        <w:pStyle w:val="Heading1"/>
      </w:pPr>
      <w:r>
        <w:t>四、容量趋势判断</w:t>
      </w:r>
    </w:p>
    <w:p>
      <w:pPr>
        <w:pStyle w:val="ListBullet"/>
      </w:pPr>
      <w:r>
        <w:t>吞吐趋势：200 VU 为 248.19 req/s，500 VU 为 284.57 req/s，1000 VU 为 291.39 req/s，1200 VU 为 297.96 req/s。500 VU 以后吞吐提升很小，说明后端或数据库已经接近瓶颈。</w:t>
      </w:r>
    </w:p>
    <w:p>
      <w:pPr>
        <w:pStyle w:val="ListBullet"/>
      </w:pPr>
      <w:r>
        <w:t>延迟趋势：p95 从 200 VU 的 2.03 s 升至 500 VU 的 4.82 s，再升至 1000/1200 VU 的 8.52/8.79 s。并发越高，请求排队越明显。</w:t>
      </w:r>
    </w:p>
    <w:p>
      <w:pPr>
        <w:pStyle w:val="ListBullet"/>
      </w:pPr>
      <w:r>
        <w:t>可用性趋势：1000 VU 开始出现 EOF，1200 VU 错误率为 2.00%，虽然仍低于 5%，但已经暴露连接或超时层面的稳定性风险。</w:t>
      </w:r>
    </w:p>
    <w:p>
      <w:pPr>
        <w:pStyle w:val="Heading1"/>
      </w:pPr>
      <w:r>
        <w:t>五、瓶颈接口</w:t>
      </w:r>
    </w:p>
    <w:p>
      <w:r>
        <w:t>1200 VU 阶段 p95 最慢接口如下：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80"/>
        <w:gridCol w:w="1680"/>
        <w:gridCol w:w="1680"/>
        <w:gridCol w:w="1680"/>
        <w:gridCol w:w="1680"/>
        <w:gridCol w:w="1680"/>
      </w:tblGrid>
      <w:tr>
        <w:tc>
          <w:tcPr>
            <w:tcW w:type="dxa" w:w="1680"/>
            <w:vAlign w:val="center"/>
            <w:shd w:fill="D9EAD3"/>
          </w:tcPr>
          <w:p>
            <w:r/>
            <w:r>
              <w:rPr>
                <w:rFonts w:ascii="Microsoft YaHei" w:hAnsi="Microsoft YaHei" w:eastAsia="微软雅黑"/>
                <w:b/>
                <w:sz w:val="18"/>
              </w:rPr>
              <w:t>指标名</w:t>
            </w:r>
          </w:p>
        </w:tc>
        <w:tc>
          <w:tcPr>
            <w:tcW w:type="dxa" w:w="1680"/>
            <w:vAlign w:val="center"/>
            <w:shd w:fill="D9EAD3"/>
          </w:tcPr>
          <w:p>
            <w:r/>
            <w:r>
              <w:rPr>
                <w:rFonts w:ascii="Microsoft YaHei" w:hAnsi="Microsoft YaHei" w:eastAsia="微软雅黑"/>
                <w:b/>
                <w:sz w:val="18"/>
              </w:rPr>
              <w:t>业务含义</w:t>
            </w:r>
          </w:p>
        </w:tc>
        <w:tc>
          <w:tcPr>
            <w:tcW w:type="dxa" w:w="1680"/>
            <w:vAlign w:val="center"/>
            <w:shd w:fill="D9EAD3"/>
          </w:tcPr>
          <w:p>
            <w:r/>
            <w:r>
              <w:rPr>
                <w:rFonts w:ascii="Microsoft YaHei" w:hAnsi="Microsoft YaHei" w:eastAsia="微软雅黑"/>
                <w:b/>
                <w:sz w:val="18"/>
              </w:rPr>
              <w:t>平均 ms</w:t>
            </w:r>
          </w:p>
        </w:tc>
        <w:tc>
          <w:tcPr>
            <w:tcW w:type="dxa" w:w="1680"/>
            <w:vAlign w:val="center"/>
            <w:shd w:fill="D9EAD3"/>
          </w:tcPr>
          <w:p>
            <w:r/>
            <w:r>
              <w:rPr>
                <w:rFonts w:ascii="Microsoft YaHei" w:hAnsi="Microsoft YaHei" w:eastAsia="微软雅黑"/>
                <w:b/>
                <w:sz w:val="18"/>
              </w:rPr>
              <w:t>p90 ms</w:t>
            </w:r>
          </w:p>
        </w:tc>
        <w:tc>
          <w:tcPr>
            <w:tcW w:type="dxa" w:w="1680"/>
            <w:vAlign w:val="center"/>
            <w:shd w:fill="D9EAD3"/>
          </w:tcPr>
          <w:p>
            <w:r/>
            <w:r>
              <w:rPr>
                <w:rFonts w:ascii="Microsoft YaHei" w:hAnsi="Microsoft YaHei" w:eastAsia="微软雅黑"/>
                <w:b/>
                <w:sz w:val="18"/>
              </w:rPr>
              <w:t>p95 ms</w:t>
            </w:r>
          </w:p>
        </w:tc>
        <w:tc>
          <w:tcPr>
            <w:tcW w:type="dxa" w:w="1680"/>
            <w:vAlign w:val="center"/>
            <w:shd w:fill="D9EAD3"/>
          </w:tcPr>
          <w:p>
            <w:r/>
            <w:r>
              <w:rPr>
                <w:rFonts w:ascii="Microsoft YaHei" w:hAnsi="Microsoft YaHei" w:eastAsia="微软雅黑"/>
                <w:b/>
                <w:sz w:val="18"/>
              </w:rPr>
              <w:t>最大 ms</w:t>
            </w:r>
          </w:p>
        </w:tc>
      </w:tr>
      <w:tr>
        <w:tc>
          <w:tcPr>
            <w:tcW w:type="dxa" w:w="1680"/>
            <w:vAlign w:val="center"/>
          </w:tcPr>
          <w:p>
            <w:r/>
            <w:r>
              <w:rPr>
                <w:rFonts w:ascii="Microsoft YaHei" w:hAnsi="Microsoft YaHei" w:eastAsia="微软雅黑"/>
                <w:b w:val="0"/>
                <w:sz w:val="18"/>
              </w:rPr>
              <w:t>endpoint_driver_income</w:t>
            </w:r>
          </w:p>
        </w:tc>
        <w:tc>
          <w:tcPr>
            <w:tcW w:type="dxa" w:w="1680"/>
            <w:vAlign w:val="center"/>
          </w:tcPr>
          <w:p>
            <w:r/>
            <w:r>
              <w:rPr>
                <w:rFonts w:ascii="Microsoft YaHei" w:hAnsi="Microsoft YaHei" w:eastAsia="微软雅黑"/>
                <w:b w:val="0"/>
                <w:sz w:val="18"/>
              </w:rPr>
              <w:t>司机收入</w:t>
            </w:r>
          </w:p>
        </w:tc>
        <w:tc>
          <w:tcPr>
            <w:tcW w:type="dxa" w:w="1680"/>
            <w:vAlign w:val="center"/>
          </w:tcPr>
          <w:p>
            <w:r/>
            <w:r>
              <w:rPr>
                <w:rFonts w:ascii="Microsoft YaHei" w:hAnsi="Microsoft YaHei" w:eastAsia="微软雅黑"/>
                <w:b w:val="0"/>
                <w:sz w:val="18"/>
              </w:rPr>
              <w:t>9,459.11</w:t>
            </w:r>
          </w:p>
        </w:tc>
        <w:tc>
          <w:tcPr>
            <w:tcW w:type="dxa" w:w="1680"/>
            <w:vAlign w:val="center"/>
          </w:tcPr>
          <w:p>
            <w:r/>
            <w:r>
              <w:rPr>
                <w:rFonts w:ascii="Microsoft YaHei" w:hAnsi="Microsoft YaHei" w:eastAsia="微软雅黑"/>
                <w:b w:val="0"/>
                <w:sz w:val="18"/>
              </w:rPr>
              <w:t>23,254.52</w:t>
            </w:r>
          </w:p>
        </w:tc>
        <w:tc>
          <w:tcPr>
            <w:tcW w:type="dxa" w:w="1680"/>
            <w:vAlign w:val="center"/>
            <w:shd w:fill="FCE4D6"/>
          </w:tcPr>
          <w:p>
            <w:r/>
            <w:r>
              <w:rPr>
                <w:rFonts w:ascii="Microsoft YaHei" w:hAnsi="Microsoft YaHei" w:eastAsia="微软雅黑"/>
                <w:b w:val="0"/>
                <w:sz w:val="18"/>
              </w:rPr>
              <w:t>24,771.14</w:t>
            </w:r>
          </w:p>
        </w:tc>
        <w:tc>
          <w:tcPr>
            <w:tcW w:type="dxa" w:w="1680"/>
            <w:vAlign w:val="center"/>
          </w:tcPr>
          <w:p>
            <w:r/>
            <w:r>
              <w:rPr>
                <w:rFonts w:ascii="Microsoft YaHei" w:hAnsi="Microsoft YaHei" w:eastAsia="微软雅黑"/>
                <w:b w:val="0"/>
                <w:sz w:val="18"/>
              </w:rPr>
              <w:t>25,852.00</w:t>
            </w:r>
          </w:p>
        </w:tc>
      </w:tr>
      <w:tr>
        <w:tc>
          <w:tcPr>
            <w:tcW w:type="dxa" w:w="1680"/>
            <w:vAlign w:val="center"/>
          </w:tcPr>
          <w:p>
            <w:r/>
            <w:r>
              <w:rPr>
                <w:rFonts w:ascii="Microsoft YaHei" w:hAnsi="Microsoft YaHei" w:eastAsia="微软雅黑"/>
                <w:b w:val="0"/>
                <w:sz w:val="18"/>
              </w:rPr>
              <w:t>endpoint_driver_dashboard</w:t>
            </w:r>
          </w:p>
        </w:tc>
        <w:tc>
          <w:tcPr>
            <w:tcW w:type="dxa" w:w="1680"/>
            <w:vAlign w:val="center"/>
          </w:tcPr>
          <w:p>
            <w:r/>
            <w:r>
              <w:rPr>
                <w:rFonts w:ascii="Microsoft YaHei" w:hAnsi="Microsoft YaHei" w:eastAsia="微软雅黑"/>
                <w:b w:val="0"/>
                <w:sz w:val="18"/>
              </w:rPr>
              <w:t>司机工作台</w:t>
            </w:r>
          </w:p>
        </w:tc>
        <w:tc>
          <w:tcPr>
            <w:tcW w:type="dxa" w:w="1680"/>
            <w:vAlign w:val="center"/>
          </w:tcPr>
          <w:p>
            <w:r/>
            <w:r>
              <w:rPr>
                <w:rFonts w:ascii="Microsoft YaHei" w:hAnsi="Microsoft YaHei" w:eastAsia="微软雅黑"/>
                <w:b w:val="0"/>
                <w:sz w:val="18"/>
              </w:rPr>
              <w:t>9,920.77</w:t>
            </w:r>
          </w:p>
        </w:tc>
        <w:tc>
          <w:tcPr>
            <w:tcW w:type="dxa" w:w="1680"/>
            <w:vAlign w:val="center"/>
          </w:tcPr>
          <w:p>
            <w:r/>
            <w:r>
              <w:rPr>
                <w:rFonts w:ascii="Microsoft YaHei" w:hAnsi="Microsoft YaHei" w:eastAsia="微软雅黑"/>
                <w:b w:val="0"/>
                <w:sz w:val="18"/>
              </w:rPr>
              <w:t>20,914.13</w:t>
            </w:r>
          </w:p>
        </w:tc>
        <w:tc>
          <w:tcPr>
            <w:tcW w:type="dxa" w:w="1680"/>
            <w:vAlign w:val="center"/>
            <w:shd w:fill="FCE4D6"/>
          </w:tcPr>
          <w:p>
            <w:r/>
            <w:r>
              <w:rPr>
                <w:rFonts w:ascii="Microsoft YaHei" w:hAnsi="Microsoft YaHei" w:eastAsia="微软雅黑"/>
                <w:b w:val="0"/>
                <w:sz w:val="18"/>
              </w:rPr>
              <w:t>23,235.23</w:t>
            </w:r>
          </w:p>
        </w:tc>
        <w:tc>
          <w:tcPr>
            <w:tcW w:type="dxa" w:w="1680"/>
            <w:vAlign w:val="center"/>
          </w:tcPr>
          <w:p>
            <w:r/>
            <w:r>
              <w:rPr>
                <w:rFonts w:ascii="Microsoft YaHei" w:hAnsi="Microsoft YaHei" w:eastAsia="微软雅黑"/>
                <w:b w:val="0"/>
                <w:sz w:val="18"/>
              </w:rPr>
              <w:t>25,718.58</w:t>
            </w:r>
          </w:p>
        </w:tc>
      </w:tr>
      <w:tr>
        <w:tc>
          <w:tcPr>
            <w:tcW w:type="dxa" w:w="1680"/>
            <w:vAlign w:val="center"/>
          </w:tcPr>
          <w:p>
            <w:r/>
            <w:r>
              <w:rPr>
                <w:rFonts w:ascii="Microsoft YaHei" w:hAnsi="Microsoft YaHei" w:eastAsia="微软雅黑"/>
                <w:b w:val="0"/>
                <w:sz w:val="18"/>
              </w:rPr>
              <w:t>endpoint_admin_dashboard</w:t>
            </w:r>
          </w:p>
        </w:tc>
        <w:tc>
          <w:tcPr>
            <w:tcW w:type="dxa" w:w="1680"/>
            <w:vAlign w:val="center"/>
          </w:tcPr>
          <w:p>
            <w:r/>
            <w:r>
              <w:rPr>
                <w:rFonts w:ascii="Microsoft YaHei" w:hAnsi="Microsoft YaHei" w:eastAsia="微软雅黑"/>
                <w:b w:val="0"/>
                <w:sz w:val="18"/>
              </w:rPr>
              <w:t>管理员仪表盘</w:t>
            </w:r>
          </w:p>
        </w:tc>
        <w:tc>
          <w:tcPr>
            <w:tcW w:type="dxa" w:w="1680"/>
            <w:vAlign w:val="center"/>
          </w:tcPr>
          <w:p>
            <w:r/>
            <w:r>
              <w:rPr>
                <w:rFonts w:ascii="Microsoft YaHei" w:hAnsi="Microsoft YaHei" w:eastAsia="微软雅黑"/>
                <w:b w:val="0"/>
                <w:sz w:val="18"/>
              </w:rPr>
              <w:t>7,184.23</w:t>
            </w:r>
          </w:p>
        </w:tc>
        <w:tc>
          <w:tcPr>
            <w:tcW w:type="dxa" w:w="1680"/>
            <w:vAlign w:val="center"/>
          </w:tcPr>
          <w:p>
            <w:r/>
            <w:r>
              <w:rPr>
                <w:rFonts w:ascii="Microsoft YaHei" w:hAnsi="Microsoft YaHei" w:eastAsia="微软雅黑"/>
                <w:b w:val="0"/>
                <w:sz w:val="18"/>
              </w:rPr>
              <w:t>20,216.92</w:t>
            </w:r>
          </w:p>
        </w:tc>
        <w:tc>
          <w:tcPr>
            <w:tcW w:type="dxa" w:w="1680"/>
            <w:vAlign w:val="center"/>
            <w:shd w:fill="FCE4D6"/>
          </w:tcPr>
          <w:p>
            <w:r/>
            <w:r>
              <w:rPr>
                <w:rFonts w:ascii="Microsoft YaHei" w:hAnsi="Microsoft YaHei" w:eastAsia="微软雅黑"/>
                <w:b w:val="0"/>
                <w:sz w:val="18"/>
              </w:rPr>
              <w:t>22,011.89</w:t>
            </w:r>
          </w:p>
        </w:tc>
        <w:tc>
          <w:tcPr>
            <w:tcW w:type="dxa" w:w="1680"/>
            <w:vAlign w:val="center"/>
          </w:tcPr>
          <w:p>
            <w:r/>
            <w:r>
              <w:rPr>
                <w:rFonts w:ascii="Microsoft YaHei" w:hAnsi="Microsoft YaHei" w:eastAsia="微软雅黑"/>
                <w:b w:val="0"/>
                <w:sz w:val="18"/>
              </w:rPr>
              <w:t>23,074.89</w:t>
            </w:r>
          </w:p>
        </w:tc>
      </w:tr>
      <w:tr>
        <w:tc>
          <w:tcPr>
            <w:tcW w:type="dxa" w:w="1680"/>
            <w:vAlign w:val="center"/>
          </w:tcPr>
          <w:p>
            <w:r/>
            <w:r>
              <w:rPr>
                <w:rFonts w:ascii="Microsoft YaHei" w:hAnsi="Microsoft YaHei" w:eastAsia="微软雅黑"/>
                <w:b w:val="0"/>
                <w:sz w:val="18"/>
              </w:rPr>
              <w:t>endpoint_admin_users_summary</w:t>
            </w:r>
          </w:p>
        </w:tc>
        <w:tc>
          <w:tcPr>
            <w:tcW w:type="dxa" w:w="1680"/>
            <w:vAlign w:val="center"/>
          </w:tcPr>
          <w:p>
            <w:r/>
            <w:r>
              <w:rPr>
                <w:rFonts w:ascii="Microsoft YaHei" w:hAnsi="Microsoft YaHei" w:eastAsia="微软雅黑"/>
                <w:b w:val="0"/>
                <w:sz w:val="18"/>
              </w:rPr>
              <w:t>用户汇总</w:t>
            </w:r>
          </w:p>
        </w:tc>
        <w:tc>
          <w:tcPr>
            <w:tcW w:type="dxa" w:w="1680"/>
            <w:vAlign w:val="center"/>
          </w:tcPr>
          <w:p>
            <w:r/>
            <w:r>
              <w:rPr>
                <w:rFonts w:ascii="Microsoft YaHei" w:hAnsi="Microsoft YaHei" w:eastAsia="微软雅黑"/>
                <w:b w:val="0"/>
                <w:sz w:val="18"/>
              </w:rPr>
              <w:t>4,520.15</w:t>
            </w:r>
          </w:p>
        </w:tc>
        <w:tc>
          <w:tcPr>
            <w:tcW w:type="dxa" w:w="1680"/>
            <w:vAlign w:val="center"/>
          </w:tcPr>
          <w:p>
            <w:r/>
            <w:r>
              <w:rPr>
                <w:rFonts w:ascii="Microsoft YaHei" w:hAnsi="Microsoft YaHei" w:eastAsia="微软雅黑"/>
                <w:b w:val="0"/>
                <w:sz w:val="18"/>
              </w:rPr>
              <w:t>7,918.40</w:t>
            </w:r>
          </w:p>
        </w:tc>
        <w:tc>
          <w:tcPr>
            <w:tcW w:type="dxa" w:w="1680"/>
            <w:vAlign w:val="center"/>
            <w:shd w:fill="FCE4D6"/>
          </w:tcPr>
          <w:p>
            <w:r/>
            <w:r>
              <w:rPr>
                <w:rFonts w:ascii="Microsoft YaHei" w:hAnsi="Microsoft YaHei" w:eastAsia="微软雅黑"/>
                <w:b w:val="0"/>
                <w:sz w:val="18"/>
              </w:rPr>
              <w:t>8,504.81</w:t>
            </w:r>
          </w:p>
        </w:tc>
        <w:tc>
          <w:tcPr>
            <w:tcW w:type="dxa" w:w="1680"/>
            <w:vAlign w:val="center"/>
          </w:tcPr>
          <w:p>
            <w:r/>
            <w:r>
              <w:rPr>
                <w:rFonts w:ascii="Microsoft YaHei" w:hAnsi="Microsoft YaHei" w:eastAsia="微软雅黑"/>
                <w:b w:val="0"/>
                <w:sz w:val="18"/>
              </w:rPr>
              <w:t>9,865.00</w:t>
            </w:r>
          </w:p>
        </w:tc>
      </w:tr>
      <w:tr>
        <w:tc>
          <w:tcPr>
            <w:tcW w:type="dxa" w:w="1680"/>
            <w:vAlign w:val="center"/>
          </w:tcPr>
          <w:p>
            <w:r/>
            <w:r>
              <w:rPr>
                <w:rFonts w:ascii="Microsoft YaHei" w:hAnsi="Microsoft YaHei" w:eastAsia="微软雅黑"/>
                <w:b w:val="0"/>
                <w:sz w:val="18"/>
              </w:rPr>
              <w:t>endpoint_admin_risk_logs</w:t>
            </w:r>
          </w:p>
        </w:tc>
        <w:tc>
          <w:tcPr>
            <w:tcW w:type="dxa" w:w="1680"/>
            <w:vAlign w:val="center"/>
          </w:tcPr>
          <w:p>
            <w:r/>
            <w:r>
              <w:rPr>
                <w:rFonts w:ascii="Microsoft YaHei" w:hAnsi="Microsoft YaHei" w:eastAsia="微软雅黑"/>
                <w:b w:val="0"/>
                <w:sz w:val="18"/>
              </w:rPr>
              <w:t>风控日志</w:t>
            </w:r>
          </w:p>
        </w:tc>
        <w:tc>
          <w:tcPr>
            <w:tcW w:type="dxa" w:w="1680"/>
            <w:vAlign w:val="center"/>
          </w:tcPr>
          <w:p>
            <w:r/>
            <w:r>
              <w:rPr>
                <w:rFonts w:ascii="Microsoft YaHei" w:hAnsi="Microsoft YaHei" w:eastAsia="微软雅黑"/>
                <w:b w:val="0"/>
                <w:sz w:val="18"/>
              </w:rPr>
              <w:t>2,991.21</w:t>
            </w:r>
          </w:p>
        </w:tc>
        <w:tc>
          <w:tcPr>
            <w:tcW w:type="dxa" w:w="1680"/>
            <w:vAlign w:val="center"/>
          </w:tcPr>
          <w:p>
            <w:r/>
            <w:r>
              <w:rPr>
                <w:rFonts w:ascii="Microsoft YaHei" w:hAnsi="Microsoft YaHei" w:eastAsia="微软雅黑"/>
                <w:b w:val="0"/>
                <w:sz w:val="18"/>
              </w:rPr>
              <w:t>5,086.36</w:t>
            </w:r>
          </w:p>
        </w:tc>
        <w:tc>
          <w:tcPr>
            <w:tcW w:type="dxa" w:w="1680"/>
            <w:vAlign w:val="center"/>
            <w:shd w:fill="FCE4D6"/>
          </w:tcPr>
          <w:p>
            <w:r/>
            <w:r>
              <w:rPr>
                <w:rFonts w:ascii="Microsoft YaHei" w:hAnsi="Microsoft YaHei" w:eastAsia="微软雅黑"/>
                <w:b w:val="0"/>
                <w:sz w:val="18"/>
              </w:rPr>
              <w:t>5,319.17</w:t>
            </w:r>
          </w:p>
        </w:tc>
        <w:tc>
          <w:tcPr>
            <w:tcW w:type="dxa" w:w="1680"/>
            <w:vAlign w:val="center"/>
          </w:tcPr>
          <w:p>
            <w:r/>
            <w:r>
              <w:rPr>
                <w:rFonts w:ascii="Microsoft YaHei" w:hAnsi="Microsoft YaHei" w:eastAsia="微软雅黑"/>
                <w:b w:val="0"/>
                <w:sz w:val="18"/>
              </w:rPr>
              <w:t>6,435.66</w:t>
            </w:r>
          </w:p>
        </w:tc>
      </w:tr>
      <w:tr>
        <w:tc>
          <w:tcPr>
            <w:tcW w:type="dxa" w:w="1680"/>
            <w:vAlign w:val="center"/>
          </w:tcPr>
          <w:p>
            <w:r/>
            <w:r>
              <w:rPr>
                <w:rFonts w:ascii="Microsoft YaHei" w:hAnsi="Microsoft YaHei" w:eastAsia="微软雅黑"/>
                <w:b w:val="0"/>
                <w:sz w:val="18"/>
              </w:rPr>
              <w:t>endpoint_passenger_orders_my</w:t>
            </w:r>
          </w:p>
        </w:tc>
        <w:tc>
          <w:tcPr>
            <w:tcW w:type="dxa" w:w="1680"/>
            <w:vAlign w:val="center"/>
          </w:tcPr>
          <w:p>
            <w:r/>
            <w:r>
              <w:rPr>
                <w:rFonts w:ascii="Microsoft YaHei" w:hAnsi="Microsoft YaHei" w:eastAsia="微软雅黑"/>
                <w:b w:val="0"/>
                <w:sz w:val="18"/>
              </w:rPr>
              <w:t>乘客订单</w:t>
            </w:r>
          </w:p>
        </w:tc>
        <w:tc>
          <w:tcPr>
            <w:tcW w:type="dxa" w:w="1680"/>
            <w:vAlign w:val="center"/>
          </w:tcPr>
          <w:p>
            <w:r/>
            <w:r>
              <w:rPr>
                <w:rFonts w:ascii="Microsoft YaHei" w:hAnsi="Microsoft YaHei" w:eastAsia="微软雅黑"/>
                <w:b w:val="0"/>
                <w:sz w:val="18"/>
              </w:rPr>
              <w:t>2,122.70</w:t>
            </w:r>
          </w:p>
        </w:tc>
        <w:tc>
          <w:tcPr>
            <w:tcW w:type="dxa" w:w="1680"/>
            <w:vAlign w:val="center"/>
          </w:tcPr>
          <w:p>
            <w:r/>
            <w:r>
              <w:rPr>
                <w:rFonts w:ascii="Microsoft YaHei" w:hAnsi="Microsoft YaHei" w:eastAsia="微软雅黑"/>
                <w:b w:val="0"/>
                <w:sz w:val="18"/>
              </w:rPr>
              <w:t>3,319.77</w:t>
            </w:r>
          </w:p>
        </w:tc>
        <w:tc>
          <w:tcPr>
            <w:tcW w:type="dxa" w:w="1680"/>
            <w:vAlign w:val="center"/>
          </w:tcPr>
          <w:p>
            <w:r/>
            <w:r>
              <w:rPr>
                <w:rFonts w:ascii="Microsoft YaHei" w:hAnsi="Microsoft YaHei" w:eastAsia="微软雅黑"/>
                <w:b w:val="0"/>
                <w:sz w:val="18"/>
              </w:rPr>
              <w:t>3,539.42</w:t>
            </w:r>
          </w:p>
        </w:tc>
        <w:tc>
          <w:tcPr>
            <w:tcW w:type="dxa" w:w="1680"/>
            <w:vAlign w:val="center"/>
          </w:tcPr>
          <w:p>
            <w:r/>
            <w:r>
              <w:rPr>
                <w:rFonts w:ascii="Microsoft YaHei" w:hAnsi="Microsoft YaHei" w:eastAsia="微软雅黑"/>
                <w:b w:val="0"/>
                <w:sz w:val="18"/>
              </w:rPr>
              <w:t>4,642.08</w:t>
            </w:r>
          </w:p>
        </w:tc>
      </w:tr>
      <w:tr>
        <w:tc>
          <w:tcPr>
            <w:tcW w:type="dxa" w:w="1680"/>
            <w:vAlign w:val="center"/>
          </w:tcPr>
          <w:p>
            <w:r/>
            <w:r>
              <w:rPr>
                <w:rFonts w:ascii="Microsoft YaHei" w:hAnsi="Microsoft YaHei" w:eastAsia="微软雅黑"/>
                <w:b w:val="0"/>
                <w:sz w:val="18"/>
              </w:rPr>
              <w:t>endpoint_admin_orders</w:t>
            </w:r>
          </w:p>
        </w:tc>
        <w:tc>
          <w:tcPr>
            <w:tcW w:type="dxa" w:w="1680"/>
            <w:vAlign w:val="center"/>
          </w:tcPr>
          <w:p>
            <w:r/>
            <w:r>
              <w:rPr>
                <w:rFonts w:ascii="Microsoft YaHei" w:hAnsi="Microsoft YaHei" w:eastAsia="微软雅黑"/>
                <w:b w:val="0"/>
                <w:sz w:val="18"/>
              </w:rPr>
              <w:t>管理员订单</w:t>
            </w:r>
          </w:p>
        </w:tc>
        <w:tc>
          <w:tcPr>
            <w:tcW w:type="dxa" w:w="1680"/>
            <w:vAlign w:val="center"/>
          </w:tcPr>
          <w:p>
            <w:r/>
            <w:r>
              <w:rPr>
                <w:rFonts w:ascii="Microsoft YaHei" w:hAnsi="Microsoft YaHei" w:eastAsia="微软雅黑"/>
                <w:b w:val="0"/>
                <w:sz w:val="18"/>
              </w:rPr>
              <w:t>1,849.99</w:t>
            </w:r>
          </w:p>
        </w:tc>
        <w:tc>
          <w:tcPr>
            <w:tcW w:type="dxa" w:w="1680"/>
            <w:vAlign w:val="center"/>
          </w:tcPr>
          <w:p>
            <w:r/>
            <w:r>
              <w:rPr>
                <w:rFonts w:ascii="Microsoft YaHei" w:hAnsi="Microsoft YaHei" w:eastAsia="微软雅黑"/>
                <w:b w:val="0"/>
                <w:sz w:val="18"/>
              </w:rPr>
              <w:t>3,137.25</w:t>
            </w:r>
          </w:p>
        </w:tc>
        <w:tc>
          <w:tcPr>
            <w:tcW w:type="dxa" w:w="1680"/>
            <w:vAlign w:val="center"/>
          </w:tcPr>
          <w:p>
            <w:r/>
            <w:r>
              <w:rPr>
                <w:rFonts w:ascii="Microsoft YaHei" w:hAnsi="Microsoft YaHei" w:eastAsia="微软雅黑"/>
                <w:b w:val="0"/>
                <w:sz w:val="18"/>
              </w:rPr>
              <w:t>3,352.36</w:t>
            </w:r>
          </w:p>
        </w:tc>
        <w:tc>
          <w:tcPr>
            <w:tcW w:type="dxa" w:w="1680"/>
            <w:vAlign w:val="center"/>
          </w:tcPr>
          <w:p>
            <w:r/>
            <w:r>
              <w:rPr>
                <w:rFonts w:ascii="Microsoft YaHei" w:hAnsi="Microsoft YaHei" w:eastAsia="微软雅黑"/>
                <w:b w:val="0"/>
                <w:sz w:val="18"/>
              </w:rPr>
              <w:t>4,193.00</w:t>
            </w:r>
          </w:p>
        </w:tc>
      </w:tr>
      <w:tr>
        <w:tc>
          <w:tcPr>
            <w:tcW w:type="dxa" w:w="1680"/>
            <w:vAlign w:val="center"/>
          </w:tcPr>
          <w:p>
            <w:r/>
            <w:r>
              <w:rPr>
                <w:rFonts w:ascii="Microsoft YaHei" w:hAnsi="Microsoft YaHei" w:eastAsia="微软雅黑"/>
                <w:b w:val="0"/>
                <w:sz w:val="18"/>
              </w:rPr>
              <w:t>endpoint_admin_tokens</w:t>
            </w:r>
          </w:p>
        </w:tc>
        <w:tc>
          <w:tcPr>
            <w:tcW w:type="dxa" w:w="1680"/>
            <w:vAlign w:val="center"/>
          </w:tcPr>
          <w:p>
            <w:r/>
            <w:r>
              <w:rPr>
                <w:rFonts w:ascii="Microsoft YaHei" w:hAnsi="Microsoft YaHei" w:eastAsia="微软雅黑"/>
                <w:b w:val="0"/>
                <w:sz w:val="18"/>
              </w:rPr>
              <w:t>Token 用量</w:t>
            </w:r>
          </w:p>
        </w:tc>
        <w:tc>
          <w:tcPr>
            <w:tcW w:type="dxa" w:w="1680"/>
            <w:vAlign w:val="center"/>
          </w:tcPr>
          <w:p>
            <w:r/>
            <w:r>
              <w:rPr>
                <w:rFonts w:ascii="Microsoft YaHei" w:hAnsi="Microsoft YaHei" w:eastAsia="微软雅黑"/>
                <w:b w:val="0"/>
                <w:sz w:val="18"/>
              </w:rPr>
              <w:t>1,252.86</w:t>
            </w:r>
          </w:p>
        </w:tc>
        <w:tc>
          <w:tcPr>
            <w:tcW w:type="dxa" w:w="1680"/>
            <w:vAlign w:val="center"/>
          </w:tcPr>
          <w:p>
            <w:r/>
            <w:r>
              <w:rPr>
                <w:rFonts w:ascii="Microsoft YaHei" w:hAnsi="Microsoft YaHei" w:eastAsia="微软雅黑"/>
                <w:b w:val="0"/>
                <w:sz w:val="18"/>
              </w:rPr>
              <w:t>2,106.32</w:t>
            </w:r>
          </w:p>
        </w:tc>
        <w:tc>
          <w:tcPr>
            <w:tcW w:type="dxa" w:w="1680"/>
            <w:vAlign w:val="center"/>
          </w:tcPr>
          <w:p>
            <w:r/>
            <w:r>
              <w:rPr>
                <w:rFonts w:ascii="Microsoft YaHei" w:hAnsi="Microsoft YaHei" w:eastAsia="微软雅黑"/>
                <w:b w:val="0"/>
                <w:sz w:val="18"/>
              </w:rPr>
              <w:t>2,220.42</w:t>
            </w:r>
          </w:p>
        </w:tc>
        <w:tc>
          <w:tcPr>
            <w:tcW w:type="dxa" w:w="1680"/>
            <w:vAlign w:val="center"/>
          </w:tcPr>
          <w:p>
            <w:r/>
            <w:r>
              <w:rPr>
                <w:rFonts w:ascii="Microsoft YaHei" w:hAnsi="Microsoft YaHei" w:eastAsia="微软雅黑"/>
                <w:b w:val="0"/>
                <w:sz w:val="18"/>
              </w:rPr>
              <w:t>2,952.00</w:t>
            </w:r>
          </w:p>
        </w:tc>
      </w:tr>
    </w:tbl>
    <w:p>
      <w:r>
        <w:t>1000 VU 阶段同样主要集中在司机工作台、司机收入、管理员仪表盘、用户汇总等聚合类接口，说明高并发下慢点不是单个异常接口，而是聚合查询、数据库连接池和服务端排队共同作用。</w:t>
      </w:r>
    </w:p>
    <w:p>
      <w:pPr>
        <w:pStyle w:val="Heading1"/>
      </w:pPr>
      <w:r>
        <w:t>六、问题评估</w:t>
      </w:r>
    </w:p>
    <w:p>
      <w:pPr>
        <w:pStyle w:val="ListBullet"/>
      </w:pPr>
      <w:r>
        <w:t>数据库连接池偏小：main.go 中 MaxOpenConns 为 20，高并发下大量请求等待数据库连接，表现为吞吐平台期和聚合接口长尾延迟。</w:t>
      </w:r>
    </w:p>
    <w:p>
      <w:pPr>
        <w:pStyle w:val="ListBullet"/>
      </w:pPr>
      <w:r>
        <w:t>聚合查询接口成本较高：司机收入、司机工作台、管理员仪表盘、用户汇总等接口 p95 达到 8-25 s，优先排查这些接口的 SQL、索引和统计逻辑。</w:t>
      </w:r>
    </w:p>
    <w:p>
      <w:pPr>
        <w:pStyle w:val="ListBullet"/>
      </w:pPr>
      <w:r>
        <w:t>服务端超时/连接稳定性风险：1000 VU 起出现 EOF，1200 VU 错误率为 2.00%，建议结合服务日志定位是否为请求超时、连接被关闭或数据库等待过长。</w:t>
      </w:r>
    </w:p>
    <w:p>
      <w:pPr>
        <w:pStyle w:val="ListBullet"/>
      </w:pPr>
      <w:r>
        <w:t>当前脚本是混合读场景，不能代表下单、支付等写入场景容量；写入场景通常会更敏感，需要单独压测。</w:t>
      </w:r>
    </w:p>
    <w:p>
      <w:pPr>
        <w:pStyle w:val="Heading1"/>
      </w:pPr>
      <w:r>
        <w:t>七、优化建议</w:t>
      </w:r>
    </w:p>
    <w:p>
      <w:pPr>
        <w:pStyle w:val="ListBullet"/>
      </w:pPr>
      <w:r>
        <w:t>先做数据库侧优化：为高频筛选、关联和排序字段补索引；对 dashboard、income、summary 类接口查看 EXPLAIN，减少全表扫描和重复聚合。</w:t>
      </w:r>
    </w:p>
    <w:p>
      <w:pPr>
        <w:pStyle w:val="ListBullet"/>
      </w:pPr>
      <w:r>
        <w:t>调整连接池并复测：在数据库可承受的前提下，将 MaxOpenConns 从 20 分档提升到 50/100，配合 MaxIdleConns 调整，观察吞吐和 p95 是否改善。</w:t>
      </w:r>
    </w:p>
    <w:p>
      <w:pPr>
        <w:pStyle w:val="ListBullet"/>
      </w:pPr>
      <w:r>
        <w:t>给聚合数据加缓存或预计算：管理员仪表盘、司机收入、用户汇总、Token 用量这类读多写少指标适合短 TTL 缓存或后台预聚合。</w:t>
      </w:r>
    </w:p>
    <w:p>
      <w:pPr>
        <w:pStyle w:val="ListBullet"/>
      </w:pPr>
      <w:r>
        <w:t>增加接口级压测：把公开查询、司机工作台、管理员仪表盘拆成单接口压测，明确每个接口的独立容量。</w:t>
      </w:r>
    </w:p>
    <w:p>
      <w:pPr>
        <w:pStyle w:val="ListBullet"/>
      </w:pPr>
      <w:r>
        <w:t>补充服务端观测：压测时同步采集 CPU、内存、MySQL 慢查询、连接池等待、goroutine 数和错误日志，才能精确区分应用瓶颈与数据库瓶颈。</w:t>
      </w:r>
    </w:p>
    <w:p>
      <w:pPr>
        <w:pStyle w:val="Heading1"/>
      </w:pPr>
      <w:r>
        <w:t>八、原始结果文件</w:t>
      </w:r>
    </w:p>
    <w:p>
      <w:pPr>
        <w:pStyle w:val="ListBullet"/>
      </w:pPr>
      <w:r>
        <w:t>10 VU 冒烟: loadtests/results/tripverse-core-10vus-8081-summary.json</w:t>
      </w:r>
    </w:p>
    <w:p>
      <w:pPr>
        <w:pStyle w:val="ListBullet"/>
      </w:pPr>
      <w:r>
        <w:t>200 VU: loadtests/results/tripverse-core-200vus-8081-summary.json</w:t>
      </w:r>
    </w:p>
    <w:p>
      <w:pPr>
        <w:pStyle w:val="ListBullet"/>
      </w:pPr>
      <w:r>
        <w:t>500 VU: loadtests/results/tripverse-core-500vus-8081-summary.json</w:t>
      </w:r>
    </w:p>
    <w:p>
      <w:pPr>
        <w:pStyle w:val="ListBullet"/>
      </w:pPr>
      <w:r>
        <w:t>1000 VU: loadtests/results/tripverse-core-1000vus-8081-summary.json</w:t>
      </w:r>
    </w:p>
    <w:p>
      <w:pPr>
        <w:pStyle w:val="ListBullet"/>
      </w:pPr>
      <w:r>
        <w:t>1200 VU: loadtests/results/tripverse-core-1200vus-8081-summary.json</w:t>
      </w:r>
    </w:p>
    <w:p>
      <w:pPr>
        <w:pStyle w:val="Heading1"/>
      </w:pPr>
      <w:r>
        <w:t>附录：执行命令</w:t>
      </w:r>
    </w:p>
    <w:p>
      <w:r>
        <w:rPr>
          <w:rFonts w:ascii="Consolas" w:hAnsi="Consolas" w:eastAsia="Consolas"/>
          <w:sz w:val="16"/>
        </w:rPr>
        <w:t>$env:BASE_URL='http://127.0.0.1:8081/api'; $env:PEAK_VUS='&lt;VU&gt;'; $env:RAMP_UP='&lt;ramp&gt;'; $env:HOLD='&lt;hold&gt;'; $env:RAMP_DOWN='&lt;down&gt;'; &amp; 'C:\Program Files\k6\k6.exe' run --quiet --summary-export 'loadtests\results\&lt;name&gt;.json' 'loadtests\tripverse-core.js'</w:t>
      </w:r>
    </w:p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微软雅黑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微软雅黑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微软雅黑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微软雅黑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