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Купатенко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Георгиевич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5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Проверил полтикиу Selinux, статус веб-сервера, его контекст безопасности (рис.1).</w:t>
      </w:r>
    </w:p>
    <w:p>
      <w:pPr>
        <w:pStyle w:val="CaptionedFigure"/>
      </w:pPr>
      <w:bookmarkStart w:id="22" w:name="fig:001"/>
      <w:r>
        <w:drawing>
          <wp:inline>
            <wp:extent cx="5334000" cy="3776527"/>
            <wp:effectExtent b="0" l="0" r="0" t="0"/>
            <wp:docPr descr="Рисунок №1: Статус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Рисунок №1: Статусы</w:t>
      </w:r>
    </w:p>
    <w:p>
      <w:pPr>
        <w:pStyle w:val="BodyText"/>
      </w:pPr>
      <w:r>
        <w:t xml:space="preserve">Проверил состояние переключателей SELinux (рис.2).</w:t>
      </w:r>
    </w:p>
    <w:p>
      <w:pPr>
        <w:pStyle w:val="CaptionedFigure"/>
      </w:pPr>
      <w:bookmarkStart w:id="24" w:name="fig:002"/>
      <w:r>
        <w:drawing>
          <wp:inline>
            <wp:extent cx="5334000" cy="3774830"/>
            <wp:effectExtent b="0" l="0" r="0" t="0"/>
            <wp:docPr descr="Рисунок №2: Переключател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Рисунок №2: Переключатели</w:t>
      </w:r>
    </w:p>
    <w:p>
      <w:pPr>
        <w:pStyle w:val="BodyText"/>
      </w:pPr>
      <w:r>
        <w:t xml:space="preserve">Статистика по политике Selinux (рис.3).</w:t>
      </w:r>
    </w:p>
    <w:p>
      <w:pPr>
        <w:pStyle w:val="CaptionedFigure"/>
      </w:pPr>
      <w:bookmarkStart w:id="26" w:name="fig:003"/>
      <w:r>
        <w:drawing>
          <wp:inline>
            <wp:extent cx="5334000" cy="3830781"/>
            <wp:effectExtent b="0" l="0" r="0" t="0"/>
            <wp:docPr descr="Рисунок №3: Статистика по политике Selinux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Рисунок №3: Статистика по политике Selinux</w:t>
      </w:r>
    </w:p>
    <w:p>
      <w:pPr>
        <w:pStyle w:val="BodyText"/>
      </w:pPr>
      <w:r>
        <w:t xml:space="preserve">Тип файлов и поддиректорий, круг пользователей в каталоге /var/www (рис. 4).</w:t>
      </w:r>
    </w:p>
    <w:p>
      <w:pPr>
        <w:pStyle w:val="CaptionedFigure"/>
      </w:pPr>
      <w:bookmarkStart w:id="28" w:name="fig:003"/>
      <w:r>
        <w:drawing>
          <wp:inline>
            <wp:extent cx="5334000" cy="3768810"/>
            <wp:effectExtent b="0" l="0" r="0" t="0"/>
            <wp:docPr descr="Рисунок №4: /var/www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Рисунок №4: /var/www</w:t>
      </w:r>
    </w:p>
    <w:p>
      <w:pPr>
        <w:pStyle w:val="BodyText"/>
      </w:pPr>
      <w:r>
        <w:t xml:space="preserve">Заполнен файл test.html (рис. 5).</w:t>
      </w:r>
    </w:p>
    <w:p>
      <w:pPr>
        <w:pStyle w:val="CaptionedFigure"/>
      </w:pPr>
      <w:bookmarkStart w:id="30" w:name="fig:003"/>
      <w:r>
        <w:drawing>
          <wp:inline>
            <wp:extent cx="5334000" cy="3765176"/>
            <wp:effectExtent b="0" l="0" r="0" t="0"/>
            <wp:docPr descr="Рисунок №5: test.html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Рисунок №5: test.html</w:t>
      </w:r>
    </w:p>
    <w:p>
      <w:pPr>
        <w:pStyle w:val="BodyText"/>
      </w:pPr>
      <w:r>
        <w:t xml:space="preserve">Контекст файла test.html (рис. 6).</w:t>
      </w:r>
    </w:p>
    <w:p>
      <w:pPr>
        <w:pStyle w:val="CaptionedFigure"/>
      </w:pPr>
      <w:bookmarkStart w:id="32" w:name="fig:003"/>
      <w:r>
        <w:drawing>
          <wp:inline>
            <wp:extent cx="5334000" cy="3798246"/>
            <wp:effectExtent b="0" l="0" r="0" t="0"/>
            <wp:docPr descr="Рисунок №6: Контекст файла test.html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Рисунок №6: Контекст файла test.html</w:t>
      </w:r>
    </w:p>
    <w:p>
      <w:pPr>
        <w:pStyle w:val="BodyText"/>
      </w:pPr>
      <w:r>
        <w:t xml:space="preserve">Отображение файла на веб-странице (рис. 7).</w:t>
      </w:r>
    </w:p>
    <w:p>
      <w:pPr>
        <w:pStyle w:val="CaptionedFigure"/>
      </w:pPr>
      <w:bookmarkStart w:id="34" w:name="fig:003"/>
      <w:r>
        <w:drawing>
          <wp:inline>
            <wp:extent cx="5334000" cy="3850579"/>
            <wp:effectExtent b="0" l="0" r="0" t="0"/>
            <wp:docPr descr="Рисунок №7: Отображение файла test.html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Рисунок №7: Отображение файла test.html</w:t>
      </w:r>
    </w:p>
    <w:p>
      <w:pPr>
        <w:pStyle w:val="BodyText"/>
      </w:pPr>
      <w:r>
        <w:t xml:space="preserve">Мануал для httpd_selinux отсутствует (рис. 8).</w:t>
      </w:r>
    </w:p>
    <w:p>
      <w:pPr>
        <w:pStyle w:val="CaptionedFigure"/>
      </w:pPr>
      <w:bookmarkStart w:id="36" w:name="fig:003"/>
      <w:r>
        <w:drawing>
          <wp:inline>
            <wp:extent cx="5334000" cy="3047999"/>
            <wp:effectExtent b="0" l="0" r="0" t="0"/>
            <wp:docPr descr="Рисунок №8: man httpd_selinux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Рисунок №8: man httpd_selinux</w:t>
      </w:r>
    </w:p>
    <w:p>
      <w:pPr>
        <w:pStyle w:val="BodyText"/>
      </w:pPr>
      <w:r>
        <w:t xml:space="preserve">Изменение контекста файла test.html (рис. 9).</w:t>
      </w:r>
    </w:p>
    <w:p>
      <w:pPr>
        <w:pStyle w:val="CaptionedFigure"/>
      </w:pPr>
      <w:bookmarkStart w:id="38" w:name="fig:003"/>
      <w:r>
        <w:drawing>
          <wp:inline>
            <wp:extent cx="5334000" cy="3740638"/>
            <wp:effectExtent b="0" l="0" r="0" t="0"/>
            <wp:docPr descr="Рисунок №9: Новый контекст файла test.html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Рисунок №9: Новый контекст файла test.html</w:t>
      </w:r>
    </w:p>
    <w:p>
      <w:pPr>
        <w:pStyle w:val="BodyText"/>
      </w:pPr>
      <w:r>
        <w:t xml:space="preserve">Попытка открыть файл через браузер (рис. 10).</w:t>
      </w:r>
    </w:p>
    <w:p>
      <w:pPr>
        <w:pStyle w:val="CaptionedFigure"/>
      </w:pPr>
      <w:bookmarkStart w:id="40" w:name="fig:003"/>
      <w:r>
        <w:drawing>
          <wp:inline>
            <wp:extent cx="5334000" cy="3103280"/>
            <wp:effectExtent b="0" l="0" r="0" t="0"/>
            <wp:docPr descr="Рисунок №10: Отсутствие доступ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Рисунок №10: Отсутствие доступа</w:t>
      </w:r>
    </w:p>
    <w:p>
      <w:pPr>
        <w:pStyle w:val="BodyText"/>
      </w:pPr>
      <w:r>
        <w:t xml:space="preserve">Права доступа и лог файл сервера (рис. 11).</w:t>
      </w:r>
    </w:p>
    <w:p>
      <w:pPr>
        <w:pStyle w:val="CaptionedFigure"/>
      </w:pPr>
      <w:bookmarkStart w:id="42" w:name="fig:003"/>
      <w:r>
        <w:drawing>
          <wp:inline>
            <wp:extent cx="5334000" cy="3765176"/>
            <wp:effectExtent b="0" l="0" r="0" t="0"/>
            <wp:docPr descr="Рисунок №11: Лог файл messages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Рисунок №11: Лог файл messages</w:t>
      </w:r>
    </w:p>
    <w:p>
      <w:pPr>
        <w:pStyle w:val="BodyText"/>
      </w:pPr>
      <w:r>
        <w:t xml:space="preserve">Изменение порта с 80 на 81 в файле конфигурации (рис. 12).</w:t>
      </w:r>
    </w:p>
    <w:p>
      <w:pPr>
        <w:pStyle w:val="CaptionedFigure"/>
      </w:pPr>
      <w:bookmarkStart w:id="44" w:name="fig:003"/>
      <w:r>
        <w:drawing>
          <wp:inline>
            <wp:extent cx="5334000" cy="3751534"/>
            <wp:effectExtent b="0" l="0" r="0" t="0"/>
            <wp:docPr descr="Рисунок №12: httpd.conf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Рисунок №12: httpd.conf</w:t>
      </w:r>
    </w:p>
    <w:p>
      <w:pPr>
        <w:pStyle w:val="BodyText"/>
      </w:pPr>
      <w:r>
        <w:t xml:space="preserve">Попытка открыть файл через браузер безуспешна, так как был изменен порт (рис. 13).</w:t>
      </w:r>
    </w:p>
    <w:p>
      <w:pPr>
        <w:pStyle w:val="CaptionedFigure"/>
      </w:pPr>
      <w:bookmarkStart w:id="46" w:name="fig:003"/>
      <w:r>
        <w:drawing>
          <wp:inline>
            <wp:extent cx="5334000" cy="3789947"/>
            <wp:effectExtent b="0" l="0" r="0" t="0"/>
            <wp:docPr descr="Рисунок №13: Отсутсвие соединения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Рисунок №13: Отсутсвие соединения</w:t>
      </w:r>
    </w:p>
    <w:p>
      <w:pPr>
        <w:pStyle w:val="BodyText"/>
      </w:pPr>
      <w:r>
        <w:t xml:space="preserve">Лог messages. (рис. 14).</w:t>
      </w:r>
    </w:p>
    <w:p>
      <w:pPr>
        <w:pStyle w:val="CaptionedFigure"/>
      </w:pPr>
      <w:bookmarkStart w:id="48" w:name="fig:003"/>
      <w:r>
        <w:drawing>
          <wp:inline>
            <wp:extent cx="5334000" cy="3788313"/>
            <wp:effectExtent b="0" l="0" r="0" t="0"/>
            <wp:docPr descr="Рисунок №14: Лог messages.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Рисунок №14: Лог messages.</w:t>
      </w:r>
    </w:p>
    <w:p>
      <w:pPr>
        <w:pStyle w:val="BodyText"/>
      </w:pPr>
      <w:r>
        <w:t xml:space="preserve">Определение порта 81 (рис. 15).</w:t>
      </w:r>
    </w:p>
    <w:p>
      <w:pPr>
        <w:pStyle w:val="CaptionedFigure"/>
      </w:pPr>
      <w:bookmarkStart w:id="50" w:name="fig:003"/>
      <w:r>
        <w:drawing>
          <wp:inline>
            <wp:extent cx="5334000" cy="3796270"/>
            <wp:effectExtent b="0" l="0" r="0" t="0"/>
            <wp:docPr descr="Рисунок №15: Определение порта 81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Рисунок №15: Определение порта 81</w:t>
      </w:r>
    </w:p>
    <w:p>
      <w:pPr>
        <w:pStyle w:val="BodyText"/>
      </w:pPr>
      <w:r>
        <w:t xml:space="preserve">Возвращение контекста файлу test (рис. 16).</w:t>
      </w:r>
    </w:p>
    <w:p>
      <w:pPr>
        <w:pStyle w:val="CaptionedFigure"/>
      </w:pPr>
      <w:bookmarkStart w:id="52" w:name="fig:003"/>
      <w:r>
        <w:drawing>
          <wp:inline>
            <wp:extent cx="5334000" cy="3763966"/>
            <wp:effectExtent b="0" l="0" r="0" t="0"/>
            <wp:docPr descr="Рисунок №16: Возвращение контекста файлу test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Рисунок №16: Возвращение контекста файлу test</w:t>
      </w:r>
    </w:p>
    <w:p>
      <w:pPr>
        <w:pStyle w:val="BodyText"/>
      </w:pPr>
      <w:r>
        <w:t xml:space="preserve">Попытка открыть файл через браузер по порту 81 (рис. 17).</w:t>
      </w:r>
    </w:p>
    <w:p>
      <w:pPr>
        <w:pStyle w:val="CaptionedFigure"/>
      </w:pPr>
      <w:bookmarkStart w:id="54" w:name="fig:003"/>
      <w:r>
        <w:drawing>
          <wp:inline>
            <wp:extent cx="5334000" cy="3210212"/>
            <wp:effectExtent b="0" l="0" r="0" t="0"/>
            <wp:docPr descr="Рисунок №17: Доступ по порту 81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Рисунок №17: Доступ по порту 81</w:t>
      </w:r>
    </w:p>
    <w:p>
      <w:pPr>
        <w:pStyle w:val="BodyText"/>
      </w:pPr>
      <w:r>
        <w:t xml:space="preserve">Файл конфигурации был изменен и приведен к порту 80. Удаление файла test.html (рис. 18).</w:t>
      </w:r>
    </w:p>
    <w:p>
      <w:pPr>
        <w:pStyle w:val="CaptionedFigure"/>
      </w:pPr>
      <w:bookmarkStart w:id="56" w:name="fig:003"/>
      <w:r>
        <w:drawing>
          <wp:inline>
            <wp:extent cx="5334000" cy="3799184"/>
            <wp:effectExtent b="0" l="0" r="0" t="0"/>
            <wp:docPr descr="Рисунок №18: Удаление файла test.html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Рисунок №18: Удаление файла test.html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Были развиты навыки администрирования ОС Linux. Получено первое практическое знакомство с технологией SELinux. Проверена работу SELinx на практике совместно с веб-сервером Apache.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Купатенко Владислав Георгиевич</dc:creator>
  <dc:language>ru-RU</dc:language>
  <cp:keywords/>
  <dcterms:created xsi:type="dcterms:W3CDTF">2021-11-27T11:18:48Z</dcterms:created>
  <dcterms:modified xsi:type="dcterms:W3CDTF">2021-11-27T11:18:48Z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/>
  </property>
  <property fmtid="{D5CDD505-2E9C-101B-9397-08002B2CF9AE}" pid="24" name="toc_depth">
    <vt:lpwstr>2</vt:lpwstr>
  </property>
</Properties>
</file>