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b/>
          <w:bCs/>
          <w:sz w:val="32"/>
          <w:szCs w:val="32"/>
          <w:lang w:eastAsia="zh-CN"/>
        </w:rPr>
      </w:pPr>
      <w:r>
        <w:rPr>
          <w:rFonts w:hint="eastAsia"/>
          <w:b/>
          <w:bCs/>
          <w:sz w:val="32"/>
          <w:szCs w:val="32"/>
          <w:lang w:eastAsia="zh-CN"/>
        </w:rPr>
        <w:t>实验室仪器设备</w:t>
      </w:r>
    </w:p>
    <w:p>
      <w:pPr>
        <w:rPr>
          <w:rFonts w:hint="eastAsia"/>
        </w:rPr>
      </w:pPr>
    </w:p>
    <w:tbl>
      <w:tblPr>
        <w:tblStyle w:val="7"/>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5"/>
        <w:gridCol w:w="3345"/>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液相色谱质谱系统</w:t>
            </w:r>
          </w:p>
        </w:tc>
        <w:tc>
          <w:tcPr>
            <w:tcW w:w="4732" w:type="dxa"/>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59264" behindDoc="0" locked="0" layoutInCell="1" allowOverlap="1">
                  <wp:simplePos x="0" y="0"/>
                  <wp:positionH relativeFrom="column">
                    <wp:posOffset>304800</wp:posOffset>
                  </wp:positionH>
                  <wp:positionV relativeFrom="paragraph">
                    <wp:posOffset>29845</wp:posOffset>
                  </wp:positionV>
                  <wp:extent cx="2286000" cy="1619250"/>
                  <wp:effectExtent l="19050" t="0" r="0" b="0"/>
                  <wp:wrapNone/>
                  <wp:docPr id="1" name="图片 3" descr="C:\Users\hp\AppData\Local\Temp\360zip$Temp\360$1\液相色谱质谱联用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C:\Users\hp\AppData\Local\Temp\360zip$Temp\360$1\液相色谱质谱联用仪.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86000" cy="1619250"/>
                          </a:xfrm>
                          <a:prstGeom prst="rect">
                            <a:avLst/>
                          </a:prstGeom>
                          <a:noFill/>
                          <a:ln>
                            <a:noFill/>
                          </a:ln>
                        </pic:spPr>
                      </pic:pic>
                    </a:graphicData>
                  </a:graphic>
                </wp:anchor>
              </w:drawing>
            </w:r>
          </w:p>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360</w:t>
            </w:r>
            <w:r>
              <w:rPr>
                <w:rFonts w:hint="eastAsia" w:asciiTheme="minorEastAsia" w:hAnsiTheme="minorEastAsia" w:eastAsiaTheme="minorEastAsia"/>
                <w:kern w:val="0"/>
                <w:sz w:val="20"/>
                <w:szCs w:val="21"/>
              </w:rPr>
              <w:t>万元</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LTQ Orbitrap Discovery</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离子原</w:t>
            </w:r>
            <w:r>
              <w:rPr>
                <w:rFonts w:hint="eastAsia" w:asciiTheme="minorEastAsia" w:hAnsiTheme="minorEastAsia" w:eastAsiaTheme="minorEastAsia"/>
                <w:kern w:val="0"/>
                <w:sz w:val="20"/>
                <w:szCs w:val="21"/>
              </w:rPr>
              <w:t xml:space="preserve"> ESI</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0"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用于小分子</w:t>
            </w:r>
            <w:r>
              <w:rPr>
                <w:rFonts w:hint="eastAsia" w:asciiTheme="minorEastAsia" w:hAnsiTheme="minorEastAsia" w:eastAsiaTheme="minorEastAsia"/>
                <w:kern w:val="0"/>
                <w:sz w:val="20"/>
                <w:szCs w:val="21"/>
              </w:rPr>
              <w:t>代谢物、蛋</w:t>
            </w:r>
          </w:p>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白、农药残留等的</w:t>
            </w:r>
            <w:r>
              <w:rPr>
                <w:rFonts w:asciiTheme="minorEastAsia" w:hAnsiTheme="minorEastAsia" w:eastAsiaTheme="minorEastAsia"/>
                <w:kern w:val="0"/>
                <w:sz w:val="20"/>
                <w:szCs w:val="21"/>
              </w:rPr>
              <w:t>检测</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核磁共振波谱仪</w:t>
            </w:r>
          </w:p>
        </w:tc>
        <w:tc>
          <w:tcPr>
            <w:tcW w:w="4732" w:type="dxa"/>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60288" behindDoc="0" locked="0" layoutInCell="1" allowOverlap="1">
                  <wp:simplePos x="0" y="0"/>
                  <wp:positionH relativeFrom="column">
                    <wp:posOffset>315595</wp:posOffset>
                  </wp:positionH>
                  <wp:positionV relativeFrom="paragraph">
                    <wp:posOffset>99695</wp:posOffset>
                  </wp:positionV>
                  <wp:extent cx="2304415" cy="1638300"/>
                  <wp:effectExtent l="19050" t="0" r="63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304415" cy="1638300"/>
                          </a:xfrm>
                          <a:prstGeom prst="rect">
                            <a:avLst/>
                          </a:prstGeom>
                          <a:noFill/>
                        </pic:spPr>
                      </pic:pic>
                    </a:graphicData>
                  </a:graphic>
                </wp:anchor>
              </w:drawing>
            </w:r>
          </w:p>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209</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8</w:t>
            </w:r>
            <w:r>
              <w:rPr>
                <w:rFonts w:hint="eastAsia" w:asciiTheme="minorEastAsia" w:hAnsiTheme="minorEastAsia" w:eastAsiaTheme="minorEastAsia"/>
                <w:kern w:val="0"/>
                <w:sz w:val="20"/>
                <w:szCs w:val="21"/>
              </w:rPr>
              <w:t>万元</w:t>
            </w:r>
          </w:p>
        </w:tc>
        <w:tc>
          <w:tcPr>
            <w:tcW w:w="4732" w:type="dxa"/>
            <w:vMerge w:val="continue"/>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AVANCE III 400</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 xml:space="preserve">⑴核磁操作频率(1H)：400 MHz ⑵磁场强度： 9.4 Tesla </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可用于多肽和蛋白质在溶液中高次构造的解析</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代谢组学成套设备</w:t>
            </w:r>
          </w:p>
        </w:tc>
        <w:tc>
          <w:tcPr>
            <w:tcW w:w="4732" w:type="dxa"/>
            <w:vMerge w:val="restart"/>
            <w:vAlign w:val="center"/>
          </w:tcPr>
          <w:p>
            <w:pPr>
              <w:spacing w:line="220" w:lineRule="atLeast"/>
              <w:jc w:val="center"/>
              <w:rPr>
                <w:rFonts w:asciiTheme="minorEastAsia" w:hAnsiTheme="minorEastAsia" w:eastAsiaTheme="minorEastAsia"/>
                <w:kern w:val="0"/>
                <w:sz w:val="20"/>
                <w:szCs w:val="21"/>
              </w:rPr>
            </w:pPr>
            <w:r>
              <w:rPr>
                <w:rFonts w:ascii="Calibri" w:hAnsi="Calibri"/>
                <w:kern w:val="0"/>
                <w:sz w:val="20"/>
              </w:rPr>
              <w:drawing>
                <wp:anchor distT="0" distB="0" distL="114300" distR="114300" simplePos="0" relativeHeight="251661312" behindDoc="0" locked="0" layoutInCell="1" allowOverlap="1">
                  <wp:simplePos x="0" y="0"/>
                  <wp:positionH relativeFrom="column">
                    <wp:posOffset>339090</wp:posOffset>
                  </wp:positionH>
                  <wp:positionV relativeFrom="paragraph">
                    <wp:posOffset>11430</wp:posOffset>
                  </wp:positionV>
                  <wp:extent cx="2304415" cy="1485900"/>
                  <wp:effectExtent l="19050" t="0" r="635" b="0"/>
                  <wp:wrapNone/>
                  <wp:docPr id="2" name="图片 2" descr="C:\Users\hp\AppData\Local\Temp\360zip$Temp\360$0\气相色谱质谱联用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hp\AppData\Local\Temp\360zip$Temp\360$0\气相色谱质谱联用仪.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304415" cy="1485900"/>
                          </a:xfrm>
                          <a:prstGeom prst="rect">
                            <a:avLst/>
                          </a:prstGeom>
                          <a:noFill/>
                          <a:ln>
                            <a:noFill/>
                          </a:ln>
                        </pic:spPr>
                      </pic:pic>
                    </a:graphicData>
                  </a:graphic>
                </wp:anchor>
              </w:drawing>
            </w:r>
          </w:p>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167</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1978</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GCMS-QP2010E</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400兆</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可挥发物性有机化合物的检测</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联系人</w:t>
            </w:r>
          </w:p>
        </w:tc>
        <w:tc>
          <w:tcPr>
            <w:tcW w:w="8077" w:type="dxa"/>
            <w:gridSpan w:val="2"/>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杨爱珍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联系电话</w:t>
            </w:r>
          </w:p>
        </w:tc>
        <w:tc>
          <w:tcPr>
            <w:tcW w:w="8077" w:type="dxa"/>
            <w:gridSpan w:val="2"/>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80799312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E-mail</w:t>
            </w:r>
          </w:p>
        </w:tc>
        <w:tc>
          <w:tcPr>
            <w:tcW w:w="8077" w:type="dxa"/>
            <w:gridSpan w:val="2"/>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20027610@bac.edu.cn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透射电子显微镜</w:t>
            </w:r>
          </w:p>
        </w:tc>
        <w:tc>
          <w:tcPr>
            <w:tcW w:w="4732" w:type="dxa"/>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64384" behindDoc="0" locked="0" layoutInCell="1" allowOverlap="1">
                  <wp:simplePos x="0" y="0"/>
                  <wp:positionH relativeFrom="column">
                    <wp:posOffset>221615</wp:posOffset>
                  </wp:positionH>
                  <wp:positionV relativeFrom="paragraph">
                    <wp:posOffset>370840</wp:posOffset>
                  </wp:positionV>
                  <wp:extent cx="2590800" cy="1724025"/>
                  <wp:effectExtent l="19050" t="0" r="0" b="0"/>
                  <wp:wrapNone/>
                  <wp:docPr id="7" name="图片 1" descr="E:\电镜\重点实验室仪器\首都科技平台2016\透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E:\电镜\重点实验室仪器\首都科技平台2016\透射.JPG"/>
                          <pic:cNvPicPr>
                            <a:picLocks noChangeAspect="1" noChangeArrowheads="1"/>
                          </pic:cNvPicPr>
                        </pic:nvPicPr>
                        <pic:blipFill>
                          <a:blip r:embed="rId7" cstate="print"/>
                          <a:srcRect/>
                          <a:stretch>
                            <a:fillRect/>
                          </a:stretch>
                        </pic:blipFill>
                        <pic:spPr>
                          <a:xfrm>
                            <a:off x="0" y="0"/>
                            <a:ext cx="2590800" cy="1724025"/>
                          </a:xfrm>
                          <a:prstGeom prst="rect">
                            <a:avLst/>
                          </a:prstGeom>
                          <a:noFill/>
                          <a:ln w="9525">
                            <a:noFill/>
                            <a:miter lim="800000"/>
                            <a:headEnd/>
                            <a:tailEnd/>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26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214</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4</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26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日本日立公司；</w:t>
            </w:r>
            <w:r>
              <w:rPr>
                <w:rFonts w:asciiTheme="minorEastAsia" w:hAnsiTheme="minorEastAsia" w:eastAsiaTheme="minorEastAsia"/>
                <w:kern w:val="0"/>
                <w:sz w:val="20"/>
                <w:szCs w:val="21"/>
              </w:rPr>
              <w:t>H-7650</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分辨率：0.2nm (晶格像)；加速电压：40kV ~ 120kV；放大倍率：连续放大模式：x200~x600,000；数码相机型号：Gatan MODEL 832，4K x 2.7K 1100万像素光纤耦合。</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广泛应用于生物样品局部切面的超微结构和非生物材料和纳米材料的内部微观结构观察，可观察生命科学领域动植物细胞、病毒、细菌和支原体中的超微结构；对抗原和抗体在超微结构进行精细检测和定位；对植物各种疾病病因进行诊断与研究；观察高分子、表面活性剂、碳纳米管及纳米粒子等形态结构。</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扫描电子显微镜</w:t>
            </w:r>
          </w:p>
        </w:tc>
        <w:tc>
          <w:tcPr>
            <w:tcW w:w="4732" w:type="dxa"/>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593975" cy="1724025"/>
                  <wp:effectExtent l="0" t="0" r="15875" b="9525"/>
                  <wp:docPr id="8" name="图片 2" descr="E:\电镜\重点实验室仪器\首都科技平台2016\显微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E:\电镜\重点实验室仪器\首都科技平台2016\显微镜.JPG"/>
                          <pic:cNvPicPr>
                            <a:picLocks noChangeAspect="1" noChangeArrowheads="1"/>
                          </pic:cNvPicPr>
                        </pic:nvPicPr>
                        <pic:blipFill>
                          <a:blip r:embed="rId8" cstate="print"/>
                          <a:srcRect/>
                          <a:stretch>
                            <a:fillRect/>
                          </a:stretch>
                        </pic:blipFill>
                        <pic:spPr>
                          <a:xfrm>
                            <a:off x="0" y="0"/>
                            <a:ext cx="2594510" cy="172440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88</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86</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捷克</w:t>
            </w:r>
            <w:r>
              <w:rPr>
                <w:rFonts w:asciiTheme="minorEastAsia" w:hAnsiTheme="minorEastAsia" w:eastAsiaTheme="minorEastAsia"/>
                <w:kern w:val="0"/>
                <w:sz w:val="20"/>
                <w:szCs w:val="21"/>
              </w:rPr>
              <w:t>TESCAN</w:t>
            </w:r>
            <w:r>
              <w:rPr>
                <w:rFonts w:hint="eastAsia" w:asciiTheme="minorEastAsia" w:hAnsiTheme="minorEastAsia" w:eastAsiaTheme="minorEastAsia"/>
                <w:kern w:val="0"/>
                <w:sz w:val="20"/>
                <w:szCs w:val="21"/>
              </w:rPr>
              <w:t>公司；</w:t>
            </w:r>
            <w:r>
              <w:rPr>
                <w:rFonts w:asciiTheme="minorEastAsia" w:hAnsiTheme="minorEastAsia" w:eastAsiaTheme="minorEastAsia"/>
                <w:kern w:val="0"/>
                <w:sz w:val="20"/>
                <w:szCs w:val="21"/>
              </w:rPr>
              <w:t>5136 SB</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放大倍数：4~500,000 ×，二次电子像分辨率：3.5nm，背反射电子像分辨率：4nm ，配有低真空模式LVSTD检测器，可方便快捷地进行高真空扫描电镜模式与低真空扫描电镜模式之间转化，在高真空模式中开展对非导电性样品观察和元素分析，在低真空模式中进行含水和多孔样品观察和研究，得到真实高分辨率二次电子图像。</w:t>
            </w:r>
          </w:p>
        </w:tc>
        <w:tc>
          <w:tcPr>
            <w:tcW w:w="4732"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该电镜广泛应用于生物和物理材料表征特性观察，逐点扫描，获得三维立体图像，观察视野大，景深长，富有立体感。</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名称3</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等温滴定微量热仪</w:t>
            </w:r>
          </w:p>
        </w:tc>
        <w:tc>
          <w:tcPr>
            <w:tcW w:w="4732" w:type="dxa"/>
            <w:vMerge w:val="restart"/>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820035" cy="2148205"/>
                  <wp:effectExtent l="0" t="0" r="18415" b="4445"/>
                  <wp:docPr id="5" name="图片 0" descr="等温滴定微量热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0" descr="等温滴定微量热仪.JPG"/>
                          <pic:cNvPicPr>
                            <a:picLocks noChangeAspect="1"/>
                          </pic:cNvPicPr>
                        </pic:nvPicPr>
                        <pic:blipFill>
                          <a:blip r:embed="rId9" cstate="print"/>
                          <a:stretch>
                            <a:fillRect/>
                          </a:stretch>
                        </pic:blipFill>
                        <pic:spPr>
                          <a:xfrm>
                            <a:off x="0" y="0"/>
                            <a:ext cx="2820035" cy="21482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26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109.68</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26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iTC200</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本仪器最小可检测热功率2 nW，最小可检测热效应0.125uJ，生物样品最小用量0.4ug，温度范围2 oC - 80 oC，滴定池体积1.43 ml)。</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能够获得生物分子相互作用的完整热力学参数，包括结合常数、结合位点数、摩尔结合焓、摩尔结合熵、摩尔恒压热容，和动力学参数</w:t>
            </w:r>
          </w:p>
        </w:tc>
        <w:tc>
          <w:tcPr>
            <w:tcW w:w="4732" w:type="dxa"/>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激光共聚焦显微镜</w:t>
            </w:r>
          </w:p>
        </w:tc>
        <w:tc>
          <w:tcPr>
            <w:tcW w:w="4732" w:type="dxa"/>
            <w:vMerge w:val="restart"/>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485390" cy="1790700"/>
                  <wp:effectExtent l="0" t="0" r="10160" b="0"/>
                  <wp:docPr id="6" name="图片 1" descr="激光共聚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激光共聚焦.jpg"/>
                          <pic:cNvPicPr>
                            <a:picLocks noChangeAspect="1"/>
                          </pic:cNvPicPr>
                        </pic:nvPicPr>
                        <pic:blipFill>
                          <a:blip r:embed="rId10" cstate="print"/>
                          <a:stretch>
                            <a:fillRect/>
                          </a:stretch>
                        </pic:blipFill>
                        <pic:spPr>
                          <a:xfrm>
                            <a:off x="0" y="0"/>
                            <a:ext cx="2486565" cy="17910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203</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*_TCS SP5型</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1.配备10×，20×，40×，63×高数值孔径物镜。2.覆盖可见光波长范围的激光器，各激光器单独分立。</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实现宽均场视野、多通道和高灵敏度检测及生物成像，能够直接升级到超高分辨率的共聚焦。</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气质联用仪</w:t>
            </w:r>
          </w:p>
        </w:tc>
        <w:tc>
          <w:tcPr>
            <w:tcW w:w="4732" w:type="dxa"/>
            <w:vMerge w:val="restart"/>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63360" behindDoc="0" locked="0" layoutInCell="1" allowOverlap="1">
                  <wp:simplePos x="0" y="0"/>
                  <wp:positionH relativeFrom="column">
                    <wp:posOffset>172720</wp:posOffset>
                  </wp:positionH>
                  <wp:positionV relativeFrom="paragraph">
                    <wp:posOffset>343535</wp:posOffset>
                  </wp:positionV>
                  <wp:extent cx="2600325" cy="1828800"/>
                  <wp:effectExtent l="19050" t="0" r="9525" b="0"/>
                  <wp:wrapNone/>
                  <wp:docPr id="10" name="图片 8" descr="C:\Users\lenovo\AppData\Local\Temp\WeChat Files\549337171230815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C:\Users\lenovo\AppData\Local\Temp\WeChat Files\549337171230815726.jpg"/>
                          <pic:cNvPicPr>
                            <a:picLocks noChangeAspect="1" noChangeArrowheads="1"/>
                          </pic:cNvPicPr>
                        </pic:nvPicPr>
                        <pic:blipFill>
                          <a:blip r:embed="rId11" cstate="print"/>
                          <a:srcRect/>
                          <a:stretch>
                            <a:fillRect/>
                          </a:stretch>
                        </pic:blipFill>
                        <pic:spPr>
                          <a:xfrm>
                            <a:off x="0" y="0"/>
                            <a:ext cx="2600325" cy="1828800"/>
                          </a:xfrm>
                          <a:prstGeom prst="rect">
                            <a:avLst/>
                          </a:prstGeom>
                          <a:noFill/>
                          <a:ln w="9525">
                            <a:noFill/>
                            <a:miter lim="800000"/>
                            <a:headEnd/>
                            <a:tailEnd/>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88</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9</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AGILENT 5973N</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质量数范围：1.6-1050amu，以0.1amu递增</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用于在300℃时可挥发的有机物或经衍生后可挥发的有机物的定性、定量分析。例如：饱和烃、多环芳烃、有机酸、醇、醛、酯、酮、脂酯肪酸、挥发脂肪酸酯、芳香化合物、香精、香料、农药、生物碱、衍生糖、类固醇等</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名称6</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液质联用仪</w:t>
            </w:r>
          </w:p>
        </w:tc>
        <w:tc>
          <w:tcPr>
            <w:tcW w:w="4732" w:type="dxa"/>
            <w:vMerge w:val="restart"/>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600325" cy="2905125"/>
                  <wp:effectExtent l="19050" t="0" r="9525" b="0"/>
                  <wp:docPr id="9" name="图片 7" descr="C:\Users\lenovo\Desktop\20161213首都科技条件平台信息系统填报\植科学院仪器照片\18.液质联用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C:\Users\lenovo\Desktop\20161213首都科技条件平台信息系统填报\植科学院仪器照片\18.液质联用仪.jpg"/>
                          <pic:cNvPicPr>
                            <a:picLocks noChangeAspect="1" noChangeArrowheads="1"/>
                          </pic:cNvPicPr>
                        </pic:nvPicPr>
                        <pic:blipFill>
                          <a:blip r:embed="rId12" cstate="print"/>
                          <a:srcRect/>
                          <a:stretch>
                            <a:fillRect/>
                          </a:stretch>
                        </pic:blipFill>
                        <pic:spPr>
                          <a:xfrm>
                            <a:off x="0" y="0"/>
                            <a:ext cx="2606118" cy="2911597"/>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99.56</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Watersuplc/SQD</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uplc/SQD</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主要应用于药物代谢及药物动力学研究、临床药理学研究、天然药物（中草药等）开发研究、新生儿筛选、蛋白与肽类的鉴定、残留分析、毒物分析、环境分析－公安、环保、食品、自来水、卫生防疫等行业。液质联用仪的灵敏度高，通量性能好——优异的高流量性能、降低的离子抑制效应、自清洁离子源探针设计和可靠的接口设计，加速了分析速度；使用更简便。</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名称7</w:t>
            </w:r>
          </w:p>
        </w:tc>
        <w:tc>
          <w:tcPr>
            <w:tcW w:w="3345" w:type="dxa"/>
            <w:vAlign w:val="center"/>
          </w:tcPr>
          <w:p>
            <w:pPr>
              <w:spacing w:line="400" w:lineRule="atLeast"/>
              <w:rPr>
                <w:rFonts w:ascii="宋体" w:hAnsi="宋体"/>
                <w:kern w:val="0"/>
                <w:sz w:val="20"/>
                <w:szCs w:val="21"/>
              </w:rPr>
            </w:pPr>
            <w:r>
              <w:rPr>
                <w:rFonts w:hint="eastAsia" w:asciiTheme="minorEastAsia" w:hAnsiTheme="minorEastAsia" w:eastAsiaTheme="minorEastAsia"/>
                <w:kern w:val="0"/>
                <w:sz w:val="20"/>
                <w:szCs w:val="21"/>
              </w:rPr>
              <w:t>电感耦合等离子发射光谱仪</w:t>
            </w:r>
          </w:p>
        </w:tc>
        <w:tc>
          <w:tcPr>
            <w:tcW w:w="4732" w:type="dxa"/>
            <w:vMerge w:val="restart"/>
            <w:vAlign w:val="center"/>
          </w:tcPr>
          <w:p>
            <w:pPr>
              <w:spacing w:line="220" w:lineRule="atLeast"/>
              <w:rPr>
                <w:rFonts w:asciiTheme="minorEastAsia" w:hAnsiTheme="minorEastAsia" w:eastAsiaTheme="minorEastAsia"/>
                <w:kern w:val="0"/>
                <w:sz w:val="20"/>
                <w:szCs w:val="21"/>
              </w:rPr>
            </w:pPr>
            <w:r>
              <w:rPr>
                <w:rFonts w:ascii="宋体" w:hAnsi="宋体"/>
                <w:kern w:val="0"/>
                <w:sz w:val="20"/>
                <w:szCs w:val="21"/>
              </w:rPr>
              <w:drawing>
                <wp:inline distT="0" distB="0" distL="0" distR="0">
                  <wp:extent cx="2619375" cy="3067050"/>
                  <wp:effectExtent l="19050" t="0" r="952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3" cstate="print"/>
                          <a:srcRect/>
                          <a:stretch>
                            <a:fillRect/>
                          </a:stretch>
                        </pic:blipFill>
                        <pic:spPr>
                          <a:xfrm>
                            <a:off x="0" y="0"/>
                            <a:ext cx="2617271" cy="3064586"/>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ind w:firstLine="800" w:firstLineChars="400"/>
              <w:rPr>
                <w:rFonts w:ascii="宋体" w:cs="宋体"/>
                <w:color w:val="000000"/>
                <w:kern w:val="0"/>
                <w:sz w:val="20"/>
              </w:rPr>
            </w:pPr>
            <w:r>
              <w:rPr>
                <w:rFonts w:ascii="宋体" w:hAnsi="宋体"/>
                <w:kern w:val="0"/>
                <w:sz w:val="20"/>
                <w:szCs w:val="21"/>
              </w:rPr>
              <w:t>94.94</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260" w:lineRule="atLeast"/>
              <w:rPr>
                <w:rFonts w:ascii="宋体" w:hAnsi="宋体"/>
                <w:kern w:val="0"/>
                <w:sz w:val="20"/>
                <w:szCs w:val="21"/>
              </w:rPr>
            </w:pPr>
            <w:r>
              <w:rPr>
                <w:rFonts w:ascii="宋体" w:hAnsi="宋体"/>
                <w:kern w:val="0"/>
                <w:sz w:val="20"/>
                <w:szCs w:val="21"/>
              </w:rPr>
              <w:t>Thermo Fisher Scientific</w:t>
            </w:r>
          </w:p>
          <w:p>
            <w:pPr>
              <w:spacing w:line="260" w:lineRule="atLeast"/>
              <w:rPr>
                <w:rFonts w:ascii="宋体" w:hAnsi="宋体"/>
                <w:kern w:val="0"/>
                <w:sz w:val="20"/>
                <w:szCs w:val="21"/>
              </w:rPr>
            </w:pPr>
            <w:r>
              <w:rPr>
                <w:rFonts w:ascii="宋体" w:hAnsi="宋体"/>
                <w:kern w:val="0"/>
                <w:sz w:val="20"/>
                <w:szCs w:val="21"/>
              </w:rPr>
              <w:t>*_iCAP6000</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宋体" w:hAnsi="宋体"/>
                <w:kern w:val="0"/>
                <w:sz w:val="20"/>
                <w:szCs w:val="21"/>
              </w:rPr>
            </w:pPr>
            <w:r>
              <w:rPr>
                <w:rFonts w:hint="eastAsia" w:ascii="宋体" w:hAnsi="宋体"/>
                <w:kern w:val="0"/>
                <w:sz w:val="20"/>
                <w:szCs w:val="21"/>
              </w:rPr>
              <w:t>线性范围宽，</w:t>
            </w:r>
            <w:r>
              <w:rPr>
                <w:rFonts w:ascii="宋体" w:hAnsi="宋体"/>
                <w:kern w:val="0"/>
                <w:sz w:val="20"/>
                <w:szCs w:val="21"/>
              </w:rPr>
              <w:t>3-5</w:t>
            </w:r>
            <w:r>
              <w:rPr>
                <w:rFonts w:hint="eastAsia" w:ascii="宋体" w:hAnsi="宋体"/>
                <w:kern w:val="0"/>
                <w:sz w:val="20"/>
                <w:szCs w:val="21"/>
              </w:rPr>
              <w:t>个数量级。全谱直读能在短短的</w:t>
            </w:r>
            <w:r>
              <w:rPr>
                <w:rFonts w:ascii="宋体" w:hAnsi="宋体"/>
                <w:kern w:val="0"/>
                <w:sz w:val="20"/>
                <w:szCs w:val="21"/>
              </w:rPr>
              <w:t>30s</w:t>
            </w:r>
            <w:r>
              <w:rPr>
                <w:rFonts w:hint="eastAsia" w:ascii="宋体" w:hAnsi="宋体"/>
                <w:kern w:val="0"/>
                <w:sz w:val="20"/>
                <w:szCs w:val="21"/>
              </w:rPr>
              <w:t>时间内完成一次多元素分析。</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宋体" w:hAnsi="宋体"/>
                <w:kern w:val="0"/>
                <w:sz w:val="20"/>
                <w:szCs w:val="21"/>
              </w:rPr>
            </w:pPr>
            <w:r>
              <w:rPr>
                <w:rFonts w:hint="eastAsia" w:ascii="宋体" w:hAnsi="宋体"/>
                <w:kern w:val="0"/>
                <w:sz w:val="20"/>
                <w:szCs w:val="21"/>
              </w:rPr>
              <w:t>广泛应用于冶金、地质、采矿、石油、轻工、农业、医药、卫生、食品及环境监测等方面的常量及微痕量元素，特别是矿质元素分析。</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名称8</w:t>
            </w:r>
          </w:p>
        </w:tc>
        <w:tc>
          <w:tcPr>
            <w:tcW w:w="3345" w:type="dxa"/>
            <w:vAlign w:val="center"/>
          </w:tcPr>
          <w:p>
            <w:pPr>
              <w:spacing w:line="400" w:lineRule="atLeast"/>
              <w:rPr>
                <w:rFonts w:ascii="宋体" w:hAnsi="宋体"/>
                <w:kern w:val="0"/>
                <w:sz w:val="20"/>
                <w:szCs w:val="21"/>
              </w:rPr>
            </w:pPr>
            <w:r>
              <w:rPr>
                <w:rFonts w:hint="eastAsia" w:ascii="宋体" w:hAnsi="宋体"/>
                <w:kern w:val="0"/>
                <w:sz w:val="20"/>
                <w:szCs w:val="21"/>
              </w:rPr>
              <w:t>原子吸收分光光度计</w:t>
            </w:r>
          </w:p>
        </w:tc>
        <w:tc>
          <w:tcPr>
            <w:tcW w:w="4732" w:type="dxa"/>
            <w:vMerge w:val="restart"/>
            <w:vAlign w:val="center"/>
          </w:tcPr>
          <w:p>
            <w:pPr>
              <w:spacing w:line="220" w:lineRule="atLeast"/>
              <w:rPr>
                <w:rFonts w:asciiTheme="minorEastAsia" w:hAnsiTheme="minorEastAsia" w:eastAsiaTheme="minorEastAsia"/>
                <w:kern w:val="0"/>
                <w:sz w:val="20"/>
                <w:szCs w:val="21"/>
              </w:rPr>
            </w:pPr>
            <w:r>
              <w:rPr>
                <w:rFonts w:ascii="宋体" w:hAnsi="宋体"/>
                <w:kern w:val="0"/>
                <w:sz w:val="20"/>
                <w:szCs w:val="21"/>
              </w:rPr>
              <w:drawing>
                <wp:inline distT="0" distB="0" distL="0" distR="0">
                  <wp:extent cx="2619375" cy="2034540"/>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noChangeArrowheads="1"/>
                          </pic:cNvPicPr>
                        </pic:nvPicPr>
                        <pic:blipFill>
                          <a:blip r:embed="rId14" cstate="print"/>
                          <a:srcRect/>
                          <a:stretch>
                            <a:fillRect/>
                          </a:stretch>
                        </pic:blipFill>
                        <pic:spPr>
                          <a:xfrm>
                            <a:off x="0" y="0"/>
                            <a:ext cx="2624095" cy="203835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345" w:type="dxa"/>
            <w:vAlign w:val="center"/>
          </w:tcPr>
          <w:p>
            <w:pPr>
              <w:spacing w:line="400" w:lineRule="atLeast"/>
              <w:rPr>
                <w:rFonts w:ascii="宋体" w:hAnsi="宋体"/>
                <w:kern w:val="0"/>
                <w:sz w:val="20"/>
                <w:szCs w:val="21"/>
              </w:rPr>
            </w:pPr>
            <w:r>
              <w:rPr>
                <w:rFonts w:ascii="宋体" w:hAnsi="宋体"/>
                <w:kern w:val="0"/>
                <w:sz w:val="20"/>
                <w:szCs w:val="21"/>
              </w:rPr>
              <w:t>41.9</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345" w:type="dxa"/>
            <w:vAlign w:val="center"/>
          </w:tcPr>
          <w:p>
            <w:pPr>
              <w:spacing w:line="400" w:lineRule="atLeast"/>
              <w:rPr>
                <w:rFonts w:ascii="宋体" w:hAnsi="宋体"/>
                <w:kern w:val="0"/>
                <w:sz w:val="20"/>
                <w:szCs w:val="21"/>
              </w:rPr>
            </w:pPr>
            <w:r>
              <w:rPr>
                <w:rFonts w:hint="eastAsia" w:ascii="宋体" w:hAnsi="宋体"/>
                <w:kern w:val="0"/>
                <w:sz w:val="20"/>
                <w:szCs w:val="21"/>
              </w:rPr>
              <w:t>日立公司</w:t>
            </w:r>
          </w:p>
          <w:p>
            <w:pPr>
              <w:spacing w:line="400" w:lineRule="atLeast"/>
              <w:rPr>
                <w:rFonts w:ascii="宋体" w:hAnsi="宋体"/>
                <w:kern w:val="0"/>
                <w:sz w:val="20"/>
                <w:szCs w:val="21"/>
              </w:rPr>
            </w:pPr>
            <w:r>
              <w:rPr>
                <w:rFonts w:hint="eastAsia" w:ascii="宋体" w:hAnsi="宋体"/>
                <w:kern w:val="0"/>
                <w:sz w:val="20"/>
                <w:szCs w:val="21"/>
              </w:rPr>
              <w:t>火焰</w:t>
            </w:r>
            <w:r>
              <w:rPr>
                <w:rFonts w:ascii="宋体" w:hAnsi="宋体"/>
                <w:kern w:val="0"/>
                <w:sz w:val="20"/>
                <w:szCs w:val="21"/>
              </w:rPr>
              <w:t>/</w:t>
            </w:r>
            <w:r>
              <w:rPr>
                <w:rFonts w:hint="eastAsia" w:ascii="宋体" w:hAnsi="宋体"/>
                <w:kern w:val="0"/>
                <w:sz w:val="20"/>
                <w:szCs w:val="21"/>
              </w:rPr>
              <w:t>石墨炉</w:t>
            </w:r>
            <w:r>
              <w:rPr>
                <w:rFonts w:ascii="宋体" w:hAnsi="宋体"/>
                <w:kern w:val="0"/>
                <w:sz w:val="20"/>
                <w:szCs w:val="21"/>
              </w:rPr>
              <w:t>_Z-5000</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345" w:type="dxa"/>
            <w:vAlign w:val="center"/>
          </w:tcPr>
          <w:p>
            <w:pPr>
              <w:spacing w:line="400" w:lineRule="atLeast"/>
              <w:rPr>
                <w:rFonts w:ascii="宋体" w:hAnsi="宋体"/>
                <w:kern w:val="0"/>
                <w:sz w:val="20"/>
                <w:szCs w:val="21"/>
              </w:rPr>
            </w:pPr>
            <w:r>
              <w:rPr>
                <w:rFonts w:hint="eastAsia" w:asciiTheme="minorEastAsia" w:hAnsiTheme="minorEastAsia" w:eastAsiaTheme="minorEastAsia"/>
                <w:kern w:val="0"/>
                <w:sz w:val="20"/>
                <w:szCs w:val="21"/>
              </w:rPr>
              <w:t>偏振塞曼扣背景，内装</w:t>
            </w:r>
            <w:r>
              <w:rPr>
                <w:rFonts w:asciiTheme="minorEastAsia" w:hAnsiTheme="minorEastAsia" w:eastAsiaTheme="minorEastAsia"/>
                <w:kern w:val="0"/>
                <w:sz w:val="20"/>
                <w:szCs w:val="21"/>
              </w:rPr>
              <w:t>8</w:t>
            </w:r>
            <w:r>
              <w:rPr>
                <w:rFonts w:hint="eastAsia" w:asciiTheme="minorEastAsia" w:hAnsiTheme="minorEastAsia" w:eastAsiaTheme="minorEastAsia"/>
                <w:kern w:val="0"/>
                <w:sz w:val="20"/>
                <w:szCs w:val="21"/>
              </w:rPr>
              <w:t>个元素灯，自动调节灯位置，测定方法一次可设定</w:t>
            </w:r>
            <w:r>
              <w:rPr>
                <w:rFonts w:asciiTheme="minorEastAsia" w:hAnsiTheme="minorEastAsia" w:eastAsiaTheme="minorEastAsia"/>
                <w:kern w:val="0"/>
                <w:sz w:val="20"/>
                <w:szCs w:val="21"/>
              </w:rPr>
              <w:t>12</w:t>
            </w:r>
            <w:r>
              <w:rPr>
                <w:rFonts w:hint="eastAsia" w:asciiTheme="minorEastAsia" w:hAnsiTheme="minorEastAsia" w:eastAsiaTheme="minorEastAsia"/>
                <w:kern w:val="0"/>
                <w:sz w:val="20"/>
                <w:szCs w:val="21"/>
              </w:rPr>
              <w:t>个元素的分析条件，石墨炉自动进样。</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345" w:type="dxa"/>
            <w:vAlign w:val="center"/>
          </w:tcPr>
          <w:p>
            <w:pPr>
              <w:spacing w:line="400" w:lineRule="atLeast"/>
              <w:rPr>
                <w:rFonts w:ascii="宋体" w:hAnsi="宋体"/>
                <w:kern w:val="0"/>
                <w:sz w:val="20"/>
                <w:szCs w:val="21"/>
              </w:rPr>
            </w:pPr>
            <w:r>
              <w:rPr>
                <w:rFonts w:hint="eastAsia" w:asciiTheme="minorEastAsia" w:hAnsiTheme="minorEastAsia" w:eastAsiaTheme="minorEastAsia"/>
                <w:kern w:val="0"/>
                <w:sz w:val="20"/>
                <w:szCs w:val="21"/>
              </w:rPr>
              <w:t>用于冶金、地质、采矿、石油、轻工、农业、医药、卫生、食品及环境监测等方面的常量及微痕量元素。</w:t>
            </w:r>
          </w:p>
        </w:tc>
        <w:tc>
          <w:tcPr>
            <w:tcW w:w="4732" w:type="dxa"/>
            <w:vMerge w:val="continue"/>
            <w:vAlign w:val="center"/>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联系人</w:t>
            </w:r>
          </w:p>
        </w:tc>
        <w:tc>
          <w:tcPr>
            <w:tcW w:w="8077" w:type="dxa"/>
            <w:gridSpan w:val="2"/>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杨柳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联系电话</w:t>
            </w:r>
          </w:p>
        </w:tc>
        <w:tc>
          <w:tcPr>
            <w:tcW w:w="8077" w:type="dxa"/>
            <w:gridSpan w:val="2"/>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80799470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5"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E-mail</w:t>
            </w:r>
          </w:p>
        </w:tc>
        <w:tc>
          <w:tcPr>
            <w:tcW w:w="8077" w:type="dxa"/>
            <w:gridSpan w:val="2"/>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Y</w:t>
            </w:r>
            <w:r>
              <w:rPr>
                <w:rFonts w:hint="eastAsia" w:asciiTheme="minorEastAsia" w:hAnsiTheme="minorEastAsia" w:eastAsiaTheme="minorEastAsia"/>
                <w:kern w:val="0"/>
                <w:sz w:val="20"/>
                <w:szCs w:val="21"/>
              </w:rPr>
              <w:t>angliu600@sina.com</w:t>
            </w:r>
          </w:p>
        </w:tc>
      </w:tr>
    </w:tbl>
    <w:tbl>
      <w:tblPr>
        <w:tblStyle w:val="6"/>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0"/>
        <w:gridCol w:w="4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名称</w:t>
            </w:r>
          </w:p>
        </w:tc>
        <w:tc>
          <w:tcPr>
            <w:tcW w:w="3350" w:type="dxa"/>
            <w:vAlign w:val="center"/>
          </w:tcPr>
          <w:p>
            <w:pPr>
              <w:spacing w:line="400" w:lineRule="atLeast"/>
              <w:rPr>
                <w:rFonts w:ascii="宋体" w:hAnsi="宋体"/>
                <w:szCs w:val="21"/>
              </w:rPr>
            </w:pPr>
            <w:r>
              <w:rPr>
                <w:rFonts w:hint="eastAsia" w:ascii="宋体" w:hAnsi="宋体"/>
                <w:szCs w:val="21"/>
              </w:rPr>
              <w:t>全二维高通量分离纯化系统</w:t>
            </w:r>
          </w:p>
        </w:tc>
        <w:tc>
          <w:tcPr>
            <w:tcW w:w="4731" w:type="dxa"/>
            <w:vMerge w:val="restart"/>
            <w:vAlign w:val="center"/>
          </w:tcPr>
          <w:p>
            <w:pPr>
              <w:spacing w:line="220" w:lineRule="atLeast"/>
              <w:rPr>
                <w:rFonts w:ascii="宋体" w:hAnsi="宋体"/>
                <w:szCs w:val="21"/>
              </w:rPr>
            </w:pPr>
            <w:r>
              <w:rPr>
                <w:rFonts w:ascii="宋体" w:hAnsi="宋体"/>
                <w:szCs w:val="21"/>
              </w:rPr>
              <w:drawing>
                <wp:inline distT="0" distB="0" distL="0" distR="0">
                  <wp:extent cx="1724025" cy="1514475"/>
                  <wp:effectExtent l="0" t="0" r="9525" b="9525"/>
                  <wp:docPr id="17" name="图片 3" descr="IMG_20170327_095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0170327_095600.jpg"/>
                          <pic:cNvPicPr>
                            <a:picLocks noChangeAspect="1" noChangeArrowheads="1"/>
                          </pic:cNvPicPr>
                        </pic:nvPicPr>
                        <pic:blipFill>
                          <a:blip r:embed="rId15" cstate="print"/>
                          <a:srcRect/>
                          <a:stretch>
                            <a:fillRect/>
                          </a:stretch>
                        </pic:blipFill>
                        <pic:spPr>
                          <a:xfrm>
                            <a:off x="0" y="0"/>
                            <a:ext cx="1724025" cy="151447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1" w:type="dxa"/>
            <w:vAlign w:val="center"/>
          </w:tcPr>
          <w:p>
            <w:pPr>
              <w:spacing w:line="220" w:lineRule="atLeast"/>
              <w:rPr>
                <w:rFonts w:ascii="宋体" w:hAnsi="宋体"/>
                <w:b/>
                <w:szCs w:val="21"/>
              </w:rPr>
            </w:pPr>
            <w:r>
              <w:rPr>
                <w:rFonts w:hint="eastAsia" w:ascii="宋体" w:hAnsi="宋体"/>
                <w:b/>
                <w:szCs w:val="21"/>
              </w:rPr>
              <w:t>原值（万元）</w:t>
            </w:r>
          </w:p>
        </w:tc>
        <w:tc>
          <w:tcPr>
            <w:tcW w:w="3350" w:type="dxa"/>
            <w:vAlign w:val="center"/>
          </w:tcPr>
          <w:p>
            <w:pPr>
              <w:spacing w:line="260" w:lineRule="atLeast"/>
              <w:rPr>
                <w:rFonts w:ascii="宋体" w:hAnsi="宋体"/>
                <w:szCs w:val="21"/>
              </w:rPr>
            </w:pPr>
            <w:r>
              <w:rPr>
                <w:rFonts w:hint="eastAsia" w:ascii="宋体" w:hAnsi="宋体"/>
                <w:szCs w:val="21"/>
              </w:rPr>
              <w:t>269.63</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1" w:type="dxa"/>
            <w:vAlign w:val="center"/>
          </w:tcPr>
          <w:p>
            <w:pPr>
              <w:spacing w:line="220" w:lineRule="atLeast"/>
              <w:rPr>
                <w:rFonts w:ascii="宋体" w:hAnsi="宋体"/>
                <w:b/>
                <w:szCs w:val="21"/>
              </w:rPr>
            </w:pPr>
            <w:r>
              <w:rPr>
                <w:rFonts w:hint="eastAsia" w:ascii="宋体" w:hAnsi="宋体"/>
                <w:b/>
                <w:szCs w:val="21"/>
              </w:rPr>
              <w:t>厂商及型号</w:t>
            </w:r>
          </w:p>
        </w:tc>
        <w:tc>
          <w:tcPr>
            <w:tcW w:w="3350" w:type="dxa"/>
            <w:vAlign w:val="center"/>
          </w:tcPr>
          <w:p>
            <w:pPr>
              <w:spacing w:line="260" w:lineRule="atLeast"/>
              <w:rPr>
                <w:rFonts w:ascii="宋体" w:hAnsi="宋体"/>
                <w:szCs w:val="21"/>
              </w:rPr>
            </w:pPr>
            <w:r>
              <w:rPr>
                <w:rFonts w:hint="eastAsia" w:ascii="宋体" w:hAnsi="宋体"/>
                <w:szCs w:val="21"/>
              </w:rPr>
              <w:t>德国Sepbox公司，</w:t>
            </w:r>
            <w:r>
              <w:rPr>
                <w:rFonts w:ascii="宋体" w:hAnsi="宋体"/>
                <w:szCs w:val="21"/>
              </w:rPr>
              <w:t>Sepbox 2D-250</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主要性能参数</w:t>
            </w:r>
          </w:p>
        </w:tc>
        <w:tc>
          <w:tcPr>
            <w:tcW w:w="3350" w:type="dxa"/>
            <w:vAlign w:val="center"/>
          </w:tcPr>
          <w:p>
            <w:pPr>
              <w:spacing w:line="400" w:lineRule="atLeast"/>
              <w:rPr>
                <w:rFonts w:ascii="宋体" w:hAnsi="宋体"/>
                <w:szCs w:val="21"/>
              </w:rPr>
            </w:pPr>
            <w:r>
              <w:rPr>
                <w:rFonts w:hint="eastAsia" w:ascii="宋体" w:hAnsi="宋体"/>
                <w:szCs w:val="21"/>
              </w:rPr>
              <w:t>由一维分离柱、18根捕获柱和6根二维分离柱，蠕动泵、 UV及 ELSD检测器等组成。适合高通量极性、中等极性及非极性成分的分离和纯化。</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功能用途</w:t>
            </w:r>
          </w:p>
        </w:tc>
        <w:tc>
          <w:tcPr>
            <w:tcW w:w="3350" w:type="dxa"/>
            <w:vAlign w:val="center"/>
          </w:tcPr>
          <w:p>
            <w:pPr>
              <w:spacing w:line="400" w:lineRule="atLeast"/>
              <w:rPr>
                <w:rFonts w:ascii="宋体" w:hAnsi="宋体"/>
                <w:szCs w:val="21"/>
              </w:rPr>
            </w:pPr>
            <w:r>
              <w:rPr>
                <w:rFonts w:hint="eastAsia" w:ascii="宋体" w:hAnsi="宋体"/>
                <w:szCs w:val="21"/>
              </w:rPr>
              <w:t>植物材料中活性成分的高通量提取和纯化，典型馏分的数量达500种，馏分量0.25-2.5mg，纯度可用于结构解析和生物分析</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名称</w:t>
            </w:r>
          </w:p>
        </w:tc>
        <w:tc>
          <w:tcPr>
            <w:tcW w:w="3350" w:type="dxa"/>
            <w:vAlign w:val="center"/>
          </w:tcPr>
          <w:p>
            <w:pPr>
              <w:spacing w:line="400" w:lineRule="atLeast"/>
              <w:rPr>
                <w:rFonts w:ascii="宋体" w:hAnsi="宋体"/>
                <w:szCs w:val="21"/>
              </w:rPr>
            </w:pPr>
            <w:r>
              <w:rPr>
                <w:rFonts w:hint="eastAsia" w:ascii="宋体" w:hAnsi="宋体"/>
                <w:szCs w:val="21"/>
              </w:rPr>
              <w:t>核磁共振谱仪</w:t>
            </w:r>
          </w:p>
        </w:tc>
        <w:tc>
          <w:tcPr>
            <w:tcW w:w="4731" w:type="dxa"/>
            <w:vMerge w:val="restart"/>
            <w:vAlign w:val="center"/>
          </w:tcPr>
          <w:p>
            <w:pPr>
              <w:spacing w:line="220" w:lineRule="atLeast"/>
              <w:rPr>
                <w:rFonts w:ascii="宋体" w:hAnsi="宋体"/>
                <w:szCs w:val="21"/>
              </w:rPr>
            </w:pPr>
            <w:r>
              <w:rPr>
                <w:rFonts w:ascii="宋体" w:hAnsi="宋体"/>
                <w:szCs w:val="21"/>
              </w:rPr>
              <w:drawing>
                <wp:inline distT="0" distB="0" distL="0" distR="0">
                  <wp:extent cx="2778125" cy="2699385"/>
                  <wp:effectExtent l="0" t="0" r="3175" b="5715"/>
                  <wp:docPr id="16" name="图片 1" descr="核磁共振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核磁共振2.JPG"/>
                          <pic:cNvPicPr>
                            <a:picLocks noChangeAspect="1" noChangeArrowheads="1"/>
                          </pic:cNvPicPr>
                        </pic:nvPicPr>
                        <pic:blipFill>
                          <a:blip r:embed="rId16" cstate="print"/>
                          <a:srcRect/>
                          <a:stretch>
                            <a:fillRect/>
                          </a:stretch>
                        </pic:blipFill>
                        <pic:spPr>
                          <a:xfrm>
                            <a:off x="0" y="0"/>
                            <a:ext cx="2778125" cy="269938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原值（万元）</w:t>
            </w:r>
          </w:p>
        </w:tc>
        <w:tc>
          <w:tcPr>
            <w:tcW w:w="3350" w:type="dxa"/>
            <w:vAlign w:val="center"/>
          </w:tcPr>
          <w:p>
            <w:pPr>
              <w:spacing w:line="400" w:lineRule="atLeast"/>
              <w:rPr>
                <w:rFonts w:ascii="宋体" w:hAnsi="宋体"/>
                <w:szCs w:val="21"/>
              </w:rPr>
            </w:pPr>
            <w:r>
              <w:rPr>
                <w:rFonts w:ascii="宋体" w:hAnsi="宋体"/>
                <w:szCs w:val="21"/>
              </w:rPr>
              <w:t>57</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厂商及型号</w:t>
            </w:r>
          </w:p>
        </w:tc>
        <w:tc>
          <w:tcPr>
            <w:tcW w:w="3350" w:type="dxa"/>
            <w:vAlign w:val="center"/>
          </w:tcPr>
          <w:p>
            <w:pPr>
              <w:spacing w:line="400" w:lineRule="atLeast"/>
              <w:rPr>
                <w:rFonts w:ascii="宋体" w:hAnsi="宋体"/>
                <w:szCs w:val="21"/>
              </w:rPr>
            </w:pPr>
            <w:r>
              <w:rPr>
                <w:rFonts w:hint="eastAsia" w:ascii="宋体" w:hAnsi="宋体"/>
                <w:szCs w:val="21"/>
              </w:rPr>
              <w:t>瑞士BRUKER公司，</w:t>
            </w:r>
            <w:r>
              <w:rPr>
                <w:rFonts w:ascii="宋体" w:hAnsi="宋体"/>
                <w:szCs w:val="21"/>
              </w:rPr>
              <w:t>*_peri cam PSI</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主要性能参数</w:t>
            </w:r>
          </w:p>
        </w:tc>
        <w:tc>
          <w:tcPr>
            <w:tcW w:w="3350" w:type="dxa"/>
            <w:vAlign w:val="center"/>
          </w:tcPr>
          <w:p>
            <w:pPr>
              <w:spacing w:line="400" w:lineRule="atLeast"/>
              <w:rPr>
                <w:rFonts w:ascii="宋体" w:hAnsi="宋体"/>
                <w:szCs w:val="21"/>
              </w:rPr>
            </w:pPr>
            <w:r>
              <w:rPr>
                <w:rFonts w:hint="eastAsia" w:ascii="宋体" w:hAnsi="宋体"/>
                <w:szCs w:val="21"/>
              </w:rPr>
              <w:t>1.激光：EN60825-1 Class2，波长670nm，最大输出功率1mW，光束直径1mm；2. 扫描头尺寸：22cm×15cm×20cm；3.最大测量范围：约50cm×50cm；4.测量深度：0.5-1mm；5.分辨率：距监测对象25cm时，低、中、高和非常高分辨率步长依次为3mm、2mm、1mm和0.5mm.</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功能用途</w:t>
            </w:r>
          </w:p>
        </w:tc>
        <w:tc>
          <w:tcPr>
            <w:tcW w:w="3350" w:type="dxa"/>
            <w:vAlign w:val="center"/>
          </w:tcPr>
          <w:p>
            <w:pPr>
              <w:spacing w:line="400" w:lineRule="atLeast"/>
              <w:rPr>
                <w:rFonts w:ascii="宋体" w:hAnsi="宋体"/>
                <w:szCs w:val="21"/>
              </w:rPr>
            </w:pPr>
            <w:r>
              <w:rPr>
                <w:rFonts w:hint="eastAsia" w:ascii="宋体" w:hAnsi="宋体"/>
                <w:szCs w:val="21"/>
              </w:rPr>
              <w:t>1. 化合物定性定量分析； 2. 药物质量标准建立（方法学建立、方法验证）； 3. 可完成中国药典中规定使用液相色谱法进行的大部分测试项目。</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名称</w:t>
            </w:r>
          </w:p>
        </w:tc>
        <w:tc>
          <w:tcPr>
            <w:tcW w:w="3350" w:type="dxa"/>
            <w:vAlign w:val="center"/>
          </w:tcPr>
          <w:p>
            <w:pPr>
              <w:spacing w:line="400" w:lineRule="atLeast"/>
              <w:rPr>
                <w:rFonts w:ascii="宋体" w:hAnsi="宋体"/>
                <w:szCs w:val="21"/>
              </w:rPr>
            </w:pPr>
            <w:r>
              <w:rPr>
                <w:rFonts w:hint="eastAsia" w:ascii="宋体" w:hAnsi="宋体"/>
                <w:szCs w:val="21"/>
              </w:rPr>
              <w:t>液质联用仪</w:t>
            </w:r>
          </w:p>
        </w:tc>
        <w:tc>
          <w:tcPr>
            <w:tcW w:w="4731" w:type="dxa"/>
            <w:vMerge w:val="restart"/>
            <w:vAlign w:val="center"/>
          </w:tcPr>
          <w:p>
            <w:pPr>
              <w:spacing w:line="220" w:lineRule="atLeast"/>
              <w:rPr>
                <w:rFonts w:ascii="宋体" w:hAnsi="宋体"/>
                <w:szCs w:val="21"/>
              </w:rPr>
            </w:pPr>
            <w:r>
              <w:rPr>
                <w:rFonts w:ascii="宋体" w:hAnsi="宋体"/>
                <w:szCs w:val="21"/>
              </w:rPr>
              <w:drawing>
                <wp:inline distT="0" distB="0" distL="0" distR="0">
                  <wp:extent cx="2041525" cy="1948815"/>
                  <wp:effectExtent l="0" t="0" r="15875" b="13335"/>
                  <wp:docPr id="15" name="图片 6" descr="IMG_20170327_09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0170327_094743.jpg"/>
                          <pic:cNvPicPr>
                            <a:picLocks noChangeAspect="1" noChangeArrowheads="1"/>
                          </pic:cNvPicPr>
                        </pic:nvPicPr>
                        <pic:blipFill>
                          <a:blip r:embed="rId17" cstate="print"/>
                          <a:srcRect/>
                          <a:stretch>
                            <a:fillRect/>
                          </a:stretch>
                        </pic:blipFill>
                        <pic:spPr>
                          <a:xfrm>
                            <a:off x="0" y="0"/>
                            <a:ext cx="2041525" cy="194881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原值（万元）</w:t>
            </w:r>
          </w:p>
        </w:tc>
        <w:tc>
          <w:tcPr>
            <w:tcW w:w="3350" w:type="dxa"/>
            <w:vAlign w:val="center"/>
          </w:tcPr>
          <w:p>
            <w:pPr>
              <w:spacing w:line="400" w:lineRule="atLeast"/>
              <w:rPr>
                <w:rFonts w:ascii="宋体" w:hAnsi="宋体"/>
                <w:szCs w:val="21"/>
              </w:rPr>
            </w:pPr>
            <w:r>
              <w:rPr>
                <w:rFonts w:ascii="宋体" w:hAnsi="宋体"/>
                <w:szCs w:val="21"/>
              </w:rPr>
              <w:t>166.4</w:t>
            </w:r>
          </w:p>
        </w:tc>
        <w:tc>
          <w:tcPr>
            <w:tcW w:w="4731" w:type="dxa"/>
            <w:vMerge w:val="continue"/>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厂商及型号</w:t>
            </w:r>
          </w:p>
        </w:tc>
        <w:tc>
          <w:tcPr>
            <w:tcW w:w="3350" w:type="dxa"/>
            <w:vAlign w:val="center"/>
          </w:tcPr>
          <w:p>
            <w:pPr>
              <w:spacing w:line="400" w:lineRule="atLeast"/>
              <w:rPr>
                <w:rFonts w:ascii="宋体" w:hAnsi="宋体"/>
                <w:szCs w:val="21"/>
              </w:rPr>
            </w:pPr>
            <w:r>
              <w:rPr>
                <w:rFonts w:hint="eastAsia" w:ascii="宋体" w:hAnsi="宋体"/>
                <w:szCs w:val="21"/>
              </w:rPr>
              <w:t>美国</w:t>
            </w:r>
            <w:r>
              <w:rPr>
                <w:rFonts w:ascii="宋体" w:hAnsi="宋体"/>
                <w:szCs w:val="21"/>
              </w:rPr>
              <w:t>THERMO</w:t>
            </w:r>
            <w:r>
              <w:rPr>
                <w:rFonts w:hint="eastAsia" w:ascii="宋体" w:hAnsi="宋体"/>
                <w:szCs w:val="21"/>
              </w:rPr>
              <w:t>，</w:t>
            </w:r>
            <w:r>
              <w:rPr>
                <w:rFonts w:ascii="宋体" w:hAnsi="宋体"/>
                <w:szCs w:val="21"/>
              </w:rPr>
              <w:t>lcq-fleet</w:t>
            </w:r>
          </w:p>
        </w:tc>
        <w:tc>
          <w:tcPr>
            <w:tcW w:w="4731" w:type="dxa"/>
            <w:vMerge w:val="continue"/>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主要性能参数</w:t>
            </w:r>
          </w:p>
        </w:tc>
        <w:tc>
          <w:tcPr>
            <w:tcW w:w="3350" w:type="dxa"/>
            <w:vAlign w:val="center"/>
          </w:tcPr>
          <w:p>
            <w:pPr>
              <w:spacing w:line="400" w:lineRule="atLeast"/>
              <w:rPr>
                <w:rFonts w:ascii="宋体" w:hAnsi="宋体"/>
                <w:szCs w:val="21"/>
              </w:rPr>
            </w:pPr>
            <w:r>
              <w:rPr>
                <w:rFonts w:hint="eastAsia" w:ascii="宋体" w:hAnsi="宋体"/>
                <w:szCs w:val="21"/>
              </w:rPr>
              <w:t>色谱分离，质谱鉴定</w:t>
            </w:r>
          </w:p>
        </w:tc>
        <w:tc>
          <w:tcPr>
            <w:tcW w:w="4731" w:type="dxa"/>
            <w:vMerge w:val="continue"/>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功能用途</w:t>
            </w:r>
          </w:p>
        </w:tc>
        <w:tc>
          <w:tcPr>
            <w:tcW w:w="3350" w:type="dxa"/>
            <w:vAlign w:val="center"/>
          </w:tcPr>
          <w:p>
            <w:pPr>
              <w:spacing w:line="400" w:lineRule="atLeast"/>
              <w:rPr>
                <w:rFonts w:ascii="宋体" w:hAnsi="宋体"/>
                <w:szCs w:val="21"/>
              </w:rPr>
            </w:pPr>
            <w:r>
              <w:rPr>
                <w:rFonts w:hint="eastAsia" w:ascii="宋体" w:hAnsi="宋体"/>
                <w:szCs w:val="21"/>
              </w:rPr>
              <w:t>主要用于中药现代化研究，提取天然产物的定性和鉴定，药物代谢和机理研究、环境激素的研究等。</w:t>
            </w:r>
          </w:p>
          <w:p>
            <w:pPr>
              <w:spacing w:line="400" w:lineRule="atLeast"/>
              <w:rPr>
                <w:rFonts w:ascii="宋体" w:hAnsi="宋体"/>
                <w:szCs w:val="21"/>
              </w:rPr>
            </w:pPr>
          </w:p>
        </w:tc>
        <w:tc>
          <w:tcPr>
            <w:tcW w:w="4731" w:type="dxa"/>
            <w:vMerge w:val="continue"/>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名称</w:t>
            </w:r>
          </w:p>
        </w:tc>
        <w:tc>
          <w:tcPr>
            <w:tcW w:w="3350" w:type="dxa"/>
            <w:vAlign w:val="center"/>
          </w:tcPr>
          <w:p>
            <w:pPr>
              <w:spacing w:line="400" w:lineRule="atLeast"/>
              <w:rPr>
                <w:rFonts w:ascii="宋体" w:hAnsi="宋体"/>
                <w:szCs w:val="21"/>
              </w:rPr>
            </w:pPr>
            <w:r>
              <w:rPr>
                <w:rFonts w:hint="eastAsia" w:ascii="宋体" w:hAnsi="宋体"/>
                <w:szCs w:val="21"/>
              </w:rPr>
              <w:t>高压液相色谱仪</w:t>
            </w:r>
          </w:p>
        </w:tc>
        <w:tc>
          <w:tcPr>
            <w:tcW w:w="4731" w:type="dxa"/>
            <w:vMerge w:val="restart"/>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原值（万元）</w:t>
            </w:r>
          </w:p>
        </w:tc>
        <w:tc>
          <w:tcPr>
            <w:tcW w:w="3350" w:type="dxa"/>
            <w:vAlign w:val="center"/>
          </w:tcPr>
          <w:p>
            <w:pPr>
              <w:spacing w:line="260" w:lineRule="atLeast"/>
              <w:rPr>
                <w:rFonts w:ascii="宋体" w:hAnsi="宋体"/>
                <w:szCs w:val="21"/>
              </w:rPr>
            </w:pPr>
            <w:r>
              <w:rPr>
                <w:rFonts w:ascii="宋体" w:hAnsi="宋体"/>
                <w:szCs w:val="21"/>
              </w:rPr>
              <w:t>57</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厂商及型号</w:t>
            </w:r>
          </w:p>
        </w:tc>
        <w:tc>
          <w:tcPr>
            <w:tcW w:w="3350" w:type="dxa"/>
            <w:vAlign w:val="center"/>
          </w:tcPr>
          <w:p>
            <w:pPr>
              <w:spacing w:line="260" w:lineRule="atLeast"/>
              <w:rPr>
                <w:rFonts w:ascii="宋体" w:hAnsi="宋体"/>
                <w:szCs w:val="21"/>
              </w:rPr>
            </w:pPr>
            <w:r>
              <w:rPr>
                <w:rFonts w:hint="eastAsia" w:ascii="宋体" w:hAnsi="宋体"/>
                <w:szCs w:val="21"/>
              </w:rPr>
              <w:t>美国waters公司，</w:t>
            </w:r>
            <w:r>
              <w:rPr>
                <w:rFonts w:ascii="宋体" w:hAnsi="宋体"/>
                <w:szCs w:val="21"/>
              </w:rPr>
              <w:t>2695_waters alliance</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主要性能参数</w:t>
            </w:r>
          </w:p>
        </w:tc>
        <w:tc>
          <w:tcPr>
            <w:tcW w:w="3350" w:type="dxa"/>
            <w:vAlign w:val="center"/>
          </w:tcPr>
          <w:p>
            <w:pPr>
              <w:spacing w:line="400" w:lineRule="atLeast"/>
              <w:rPr>
                <w:rFonts w:ascii="宋体" w:hAnsi="宋体"/>
                <w:szCs w:val="21"/>
              </w:rPr>
            </w:pPr>
            <w:r>
              <w:rPr>
                <w:rFonts w:hint="eastAsia" w:ascii="宋体" w:hAnsi="宋体"/>
                <w:szCs w:val="21"/>
              </w:rPr>
              <w:t>1 四元梯度输液泵 工作模式：相互独立、电子控制的双柱塞直线驱动装置，双压力传感器反馈回路，无需混合器和阻尼器。2 进样器 2.1自动进样方式。2.2样品瓶数：120</w:t>
            </w:r>
            <w:r>
              <w:rPr>
                <w:rFonts w:hint="eastAsia" w:ascii="宋体" w:hAnsi="宋体"/>
                <w:szCs w:val="21"/>
              </w:rPr>
              <w:drawing>
                <wp:anchor distT="0" distB="0" distL="114300" distR="114300" simplePos="0" relativeHeight="251666432" behindDoc="0" locked="0" layoutInCell="1" allowOverlap="1">
                  <wp:simplePos x="0" y="0"/>
                  <wp:positionH relativeFrom="column">
                    <wp:posOffset>2192020</wp:posOffset>
                  </wp:positionH>
                  <wp:positionV relativeFrom="paragraph">
                    <wp:posOffset>643255</wp:posOffset>
                  </wp:positionV>
                  <wp:extent cx="2736850" cy="2596515"/>
                  <wp:effectExtent l="0" t="0" r="6350" b="13335"/>
                  <wp:wrapNone/>
                  <wp:docPr id="14" name="图片 1" descr="SAM_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SAM_0215"/>
                          <pic:cNvPicPr>
                            <a:picLocks noChangeAspect="1" noChangeArrowheads="1"/>
                          </pic:cNvPicPr>
                        </pic:nvPicPr>
                        <pic:blipFill>
                          <a:blip r:embed="rId18" cstate="print"/>
                          <a:srcRect/>
                          <a:stretch>
                            <a:fillRect/>
                          </a:stretch>
                        </pic:blipFill>
                        <pic:spPr>
                          <a:xfrm>
                            <a:off x="0" y="0"/>
                            <a:ext cx="2736850" cy="2596515"/>
                          </a:xfrm>
                          <a:prstGeom prst="rect">
                            <a:avLst/>
                          </a:prstGeom>
                          <a:noFill/>
                          <a:ln w="9525">
                            <a:noFill/>
                            <a:miter lim="800000"/>
                            <a:headEnd/>
                            <a:tailEnd/>
                          </a:ln>
                        </pic:spPr>
                      </pic:pic>
                    </a:graphicData>
                  </a:graphic>
                </wp:anchor>
              </w:drawing>
            </w:r>
            <w:r>
              <w:rPr>
                <w:rFonts w:hint="eastAsia" w:ascii="宋体" w:hAnsi="宋体"/>
                <w:szCs w:val="21"/>
              </w:rPr>
              <w:t>位，由5个样品盘组成。 3光电二极管阵列检测器 3.1波长扫描范围：190～800nm。3.2光源：全程氘灯。4蒸发光散射检测器。5色谱软件 支持多窗口、多任务的操作模式。</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功能用途</w:t>
            </w:r>
          </w:p>
        </w:tc>
        <w:tc>
          <w:tcPr>
            <w:tcW w:w="3350" w:type="dxa"/>
            <w:vAlign w:val="center"/>
          </w:tcPr>
          <w:p>
            <w:pPr>
              <w:spacing w:line="400" w:lineRule="atLeast"/>
              <w:rPr>
                <w:rFonts w:ascii="宋体" w:hAnsi="宋体"/>
                <w:szCs w:val="21"/>
              </w:rPr>
            </w:pPr>
            <w:r>
              <w:rPr>
                <w:rFonts w:hint="eastAsia" w:ascii="宋体" w:hAnsi="宋体"/>
                <w:szCs w:val="21"/>
              </w:rPr>
              <w:t>1. 化合物定性定量分析； 2. 药物质量标准建立； 3. 可完成中国药典中规定使用液相色谱法进行的大部分测试项目。</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名称</w:t>
            </w:r>
          </w:p>
        </w:tc>
        <w:tc>
          <w:tcPr>
            <w:tcW w:w="3350" w:type="dxa"/>
            <w:vAlign w:val="center"/>
          </w:tcPr>
          <w:p>
            <w:pPr>
              <w:spacing w:line="400" w:lineRule="atLeast"/>
              <w:rPr>
                <w:rFonts w:ascii="宋体" w:hAnsi="宋体"/>
                <w:szCs w:val="21"/>
              </w:rPr>
            </w:pPr>
            <w:r>
              <w:rPr>
                <w:rFonts w:hint="eastAsia" w:ascii="宋体" w:hAnsi="宋体"/>
                <w:szCs w:val="21"/>
              </w:rPr>
              <w:t>微阵列芯片点样系统</w:t>
            </w:r>
          </w:p>
        </w:tc>
        <w:tc>
          <w:tcPr>
            <w:tcW w:w="4731" w:type="dxa"/>
            <w:vMerge w:val="restart"/>
            <w:vAlign w:val="center"/>
          </w:tcPr>
          <w:p>
            <w:pPr>
              <w:spacing w:line="220" w:lineRule="atLeast"/>
              <w:rPr>
                <w:rFonts w:ascii="宋体" w:hAnsi="宋体"/>
                <w:szCs w:val="21"/>
              </w:rPr>
            </w:pPr>
            <w:r>
              <w:rPr>
                <w:rFonts w:ascii="宋体" w:hAnsi="宋体"/>
                <w:szCs w:val="21"/>
              </w:rPr>
              <w:drawing>
                <wp:inline distT="0" distB="0" distL="0" distR="0">
                  <wp:extent cx="1929765" cy="1677670"/>
                  <wp:effectExtent l="0" t="0" r="13335" b="17780"/>
                  <wp:docPr id="13" name="图片 5" descr="IMG_20170327_094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0170327_094849.jpg"/>
                          <pic:cNvPicPr>
                            <a:picLocks noChangeAspect="1" noChangeArrowheads="1"/>
                          </pic:cNvPicPr>
                        </pic:nvPicPr>
                        <pic:blipFill>
                          <a:blip r:embed="rId19" cstate="print"/>
                          <a:srcRect/>
                          <a:stretch>
                            <a:fillRect/>
                          </a:stretch>
                        </pic:blipFill>
                        <pic:spPr>
                          <a:xfrm>
                            <a:off x="0" y="0"/>
                            <a:ext cx="1929765" cy="167767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原值（万元）</w:t>
            </w:r>
          </w:p>
        </w:tc>
        <w:tc>
          <w:tcPr>
            <w:tcW w:w="3350" w:type="dxa"/>
            <w:vAlign w:val="center"/>
          </w:tcPr>
          <w:p>
            <w:pPr>
              <w:rPr>
                <w:szCs w:val="21"/>
              </w:rPr>
            </w:pPr>
            <w:r>
              <w:rPr>
                <w:color w:val="000000"/>
              </w:rPr>
              <w:t>125.5</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厂商及型号</w:t>
            </w:r>
          </w:p>
        </w:tc>
        <w:tc>
          <w:tcPr>
            <w:tcW w:w="3350" w:type="dxa"/>
            <w:vAlign w:val="center"/>
          </w:tcPr>
          <w:p>
            <w:pPr>
              <w:spacing w:line="400" w:lineRule="atLeast"/>
              <w:rPr>
                <w:rFonts w:ascii="宋体" w:hAnsi="宋体"/>
                <w:szCs w:val="21"/>
              </w:rPr>
            </w:pPr>
            <w:r>
              <w:rPr>
                <w:rFonts w:hint="eastAsia" w:ascii="宋体" w:hAnsi="宋体"/>
                <w:szCs w:val="21"/>
              </w:rPr>
              <w:t>博奥公司，晶芯</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主要性能参数</w:t>
            </w:r>
          </w:p>
        </w:tc>
        <w:tc>
          <w:tcPr>
            <w:tcW w:w="3350" w:type="dxa"/>
            <w:vAlign w:val="center"/>
          </w:tcPr>
          <w:p>
            <w:pPr>
              <w:spacing w:line="400" w:lineRule="atLeast"/>
              <w:rPr>
                <w:rFonts w:ascii="宋体" w:hAnsi="宋体"/>
                <w:szCs w:val="21"/>
              </w:rPr>
            </w:pPr>
            <w:r>
              <w:rPr>
                <w:rFonts w:hint="eastAsia" w:ascii="宋体" w:hAnsi="宋体"/>
                <w:szCs w:val="21"/>
              </w:rPr>
              <w:t>基因芯片自动点样</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宋体" w:hAnsi="宋体"/>
                <w:b/>
                <w:szCs w:val="21"/>
              </w:rPr>
            </w:pPr>
            <w:r>
              <w:rPr>
                <w:rFonts w:hint="eastAsia" w:ascii="宋体" w:hAnsi="宋体"/>
                <w:b/>
                <w:szCs w:val="21"/>
              </w:rPr>
              <w:t>功能用途</w:t>
            </w:r>
          </w:p>
        </w:tc>
        <w:tc>
          <w:tcPr>
            <w:tcW w:w="3350" w:type="dxa"/>
            <w:vAlign w:val="center"/>
          </w:tcPr>
          <w:p>
            <w:pPr>
              <w:spacing w:line="400" w:lineRule="atLeast"/>
              <w:rPr>
                <w:rFonts w:ascii="宋体" w:hAnsi="宋体"/>
                <w:szCs w:val="21"/>
              </w:rPr>
            </w:pPr>
            <w:r>
              <w:rPr>
                <w:rFonts w:hint="eastAsia" w:ascii="宋体" w:hAnsi="宋体"/>
                <w:szCs w:val="21"/>
              </w:rPr>
              <w:t>主要用于转录水平基因筛查的芯片制备，进行高通量基因探针点样工作</w:t>
            </w:r>
          </w:p>
        </w:tc>
        <w:tc>
          <w:tcPr>
            <w:tcW w:w="4731" w:type="dxa"/>
            <w:vMerge w:val="continue"/>
            <w:vAlign w:val="center"/>
          </w:tcPr>
          <w:p>
            <w:pPr>
              <w:spacing w:line="220" w:lineRule="atLeas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trPr>
        <w:tc>
          <w:tcPr>
            <w:tcW w:w="1881" w:type="dxa"/>
            <w:vAlign w:val="center"/>
          </w:tcPr>
          <w:p>
            <w:pPr>
              <w:spacing w:line="220" w:lineRule="atLeast"/>
              <w:rPr>
                <w:rFonts w:ascii="宋体" w:hAnsi="宋体"/>
                <w:b/>
                <w:szCs w:val="21"/>
              </w:rPr>
            </w:pPr>
            <w:r>
              <w:rPr>
                <w:rFonts w:hint="eastAsia" w:ascii="宋体" w:hAnsi="宋体"/>
                <w:b/>
                <w:szCs w:val="21"/>
              </w:rPr>
              <w:t>联系人</w:t>
            </w:r>
          </w:p>
        </w:tc>
        <w:tc>
          <w:tcPr>
            <w:tcW w:w="8081" w:type="dxa"/>
            <w:gridSpan w:val="2"/>
            <w:vAlign w:val="center"/>
          </w:tcPr>
          <w:p>
            <w:pPr>
              <w:spacing w:line="220" w:lineRule="atLeast"/>
              <w:rPr>
                <w:rFonts w:ascii="宋体" w:hAnsi="宋体"/>
                <w:szCs w:val="21"/>
              </w:rPr>
            </w:pPr>
            <w:r>
              <w:rPr>
                <w:rFonts w:hint="eastAsia" w:asciiTheme="minorEastAsia" w:hAnsiTheme="minorEastAsia" w:eastAsiaTheme="minorEastAsia"/>
                <w:szCs w:val="21"/>
              </w:rPr>
              <w:t>崔德凤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trPr>
        <w:tc>
          <w:tcPr>
            <w:tcW w:w="1881" w:type="dxa"/>
            <w:vAlign w:val="center"/>
          </w:tcPr>
          <w:p>
            <w:pPr>
              <w:spacing w:line="220" w:lineRule="atLeast"/>
              <w:rPr>
                <w:rFonts w:ascii="宋体" w:hAnsi="宋体"/>
                <w:b/>
                <w:szCs w:val="21"/>
              </w:rPr>
            </w:pPr>
            <w:r>
              <w:rPr>
                <w:rFonts w:hint="eastAsia" w:ascii="宋体" w:hAnsi="宋体"/>
                <w:b/>
                <w:szCs w:val="21"/>
              </w:rPr>
              <w:t>联系电话</w:t>
            </w:r>
          </w:p>
        </w:tc>
        <w:tc>
          <w:tcPr>
            <w:tcW w:w="8081" w:type="dxa"/>
            <w:gridSpan w:val="2"/>
            <w:vAlign w:val="center"/>
          </w:tcPr>
          <w:p>
            <w:pPr>
              <w:spacing w:line="220" w:lineRule="atLeast"/>
              <w:rPr>
                <w:rFonts w:ascii="宋体" w:hAnsi="宋体"/>
                <w:szCs w:val="21"/>
              </w:rPr>
            </w:pPr>
            <w:r>
              <w:rPr>
                <w:rFonts w:hint="eastAsia" w:asciiTheme="minorEastAsia" w:hAnsiTheme="minorEastAsia" w:eastAsiaTheme="minorEastAsia"/>
                <w:szCs w:val="21"/>
              </w:rPr>
              <w:t>80799515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trPr>
        <w:tc>
          <w:tcPr>
            <w:tcW w:w="1881" w:type="dxa"/>
            <w:vAlign w:val="center"/>
          </w:tcPr>
          <w:p>
            <w:pPr>
              <w:spacing w:line="220" w:lineRule="atLeast"/>
              <w:rPr>
                <w:rFonts w:ascii="宋体" w:hAnsi="宋体"/>
                <w:b/>
                <w:szCs w:val="21"/>
              </w:rPr>
            </w:pPr>
            <w:r>
              <w:rPr>
                <w:rFonts w:hint="eastAsia" w:ascii="宋体" w:hAnsi="宋体"/>
                <w:b/>
                <w:szCs w:val="21"/>
              </w:rPr>
              <w:t>E-mail</w:t>
            </w:r>
          </w:p>
        </w:tc>
        <w:tc>
          <w:tcPr>
            <w:tcW w:w="8081" w:type="dxa"/>
            <w:gridSpan w:val="2"/>
            <w:vAlign w:val="center"/>
          </w:tcPr>
          <w:p>
            <w:pPr>
              <w:spacing w:line="220" w:lineRule="atLeast"/>
              <w:rPr>
                <w:rFonts w:ascii="宋体" w:hAnsi="宋体"/>
                <w:szCs w:val="21"/>
              </w:rPr>
            </w:pPr>
            <w:r>
              <w:rPr>
                <w:rFonts w:asciiTheme="minorEastAsia" w:hAnsiTheme="minorEastAsia" w:eastAsiaTheme="minorEastAsia"/>
                <w:szCs w:val="21"/>
              </w:rPr>
              <w:t>Cdfffff@163.com</w:t>
            </w:r>
          </w:p>
        </w:tc>
      </w:tr>
    </w:tbl>
    <w:tbl>
      <w:tblPr>
        <w:tblStyle w:val="7"/>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095"/>
        <w:gridCol w:w="4826"/>
        <w:gridCol w:w="19"/>
        <w:gridCol w:w="70"/>
        <w:gridCol w:w="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液相色谱-串联质谱</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68480" behindDoc="0" locked="0" layoutInCell="1" allowOverlap="1">
                  <wp:simplePos x="0" y="0"/>
                  <wp:positionH relativeFrom="column">
                    <wp:posOffset>-27305</wp:posOffset>
                  </wp:positionH>
                  <wp:positionV relativeFrom="paragraph">
                    <wp:posOffset>29845</wp:posOffset>
                  </wp:positionV>
                  <wp:extent cx="1962150" cy="1543050"/>
                  <wp:effectExtent l="19050" t="0" r="0" b="0"/>
                  <wp:wrapNone/>
                  <wp:docPr id="29" name="图片 0" descr="LC-M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0" descr="LC-MSMS.jpg"/>
                          <pic:cNvPicPr>
                            <a:picLocks noChangeAspect="1"/>
                          </pic:cNvPicPr>
                        </pic:nvPicPr>
                        <pic:blipFill>
                          <a:blip r:embed="rId20" cstate="print"/>
                          <a:stretch>
                            <a:fillRect/>
                          </a:stretch>
                        </pic:blipFill>
                        <pic:spPr>
                          <a:xfrm>
                            <a:off x="0" y="0"/>
                            <a:ext cx="1962150" cy="15430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110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安捷伦科技有限公司</w:t>
            </w:r>
          </w:p>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Aglient 1200/6410B</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自动进样、二元泵、电喷雾电离源</w:t>
            </w: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农药残留、兽药残留等</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液相色谱</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0528" behindDoc="0" locked="0" layoutInCell="1" allowOverlap="1">
                  <wp:simplePos x="0" y="0"/>
                  <wp:positionH relativeFrom="column">
                    <wp:posOffset>-55880</wp:posOffset>
                  </wp:positionH>
                  <wp:positionV relativeFrom="paragraph">
                    <wp:posOffset>1833880</wp:posOffset>
                  </wp:positionV>
                  <wp:extent cx="2000250" cy="1476375"/>
                  <wp:effectExtent l="19050" t="0" r="0" b="0"/>
                  <wp:wrapNone/>
                  <wp:docPr id="32" name="图片 3" descr="L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LC-20.jpg"/>
                          <pic:cNvPicPr>
                            <a:picLocks noChangeAspect="1"/>
                          </pic:cNvPicPr>
                        </pic:nvPicPr>
                        <pic:blipFill>
                          <a:blip r:embed="rId21" cstate="print"/>
                          <a:stretch>
                            <a:fillRect/>
                          </a:stretch>
                        </pic:blipFill>
                        <pic:spPr>
                          <a:xfrm>
                            <a:off x="0" y="0"/>
                            <a:ext cx="2000250" cy="1476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40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69504" behindDoc="0" locked="0" layoutInCell="1" allowOverlap="1">
                  <wp:simplePos x="0" y="0"/>
                  <wp:positionH relativeFrom="column">
                    <wp:posOffset>2222500</wp:posOffset>
                  </wp:positionH>
                  <wp:positionV relativeFrom="paragraph">
                    <wp:posOffset>68580</wp:posOffset>
                  </wp:positionV>
                  <wp:extent cx="1952625" cy="1476375"/>
                  <wp:effectExtent l="19050" t="0" r="9525" b="0"/>
                  <wp:wrapNone/>
                  <wp:docPr id="31" name="图片 1" descr="LC-V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LC-VWD.jpg"/>
                          <pic:cNvPicPr>
                            <a:picLocks noChangeAspect="1"/>
                          </pic:cNvPicPr>
                        </pic:nvPicPr>
                        <pic:blipFill>
                          <a:blip r:embed="rId22" cstate="print"/>
                          <a:stretch>
                            <a:fillRect/>
                          </a:stretch>
                        </pic:blipFill>
                        <pic:spPr>
                          <a:xfrm>
                            <a:off x="0" y="0"/>
                            <a:ext cx="1952625" cy="1476375"/>
                          </a:xfrm>
                          <a:prstGeom prst="rect">
                            <a:avLst/>
                          </a:prstGeom>
                        </pic:spPr>
                      </pic:pic>
                    </a:graphicData>
                  </a:graphic>
                </wp:anchor>
              </w:drawing>
            </w:r>
            <w:r>
              <w:rPr>
                <w:rFonts w:hint="eastAsia" w:asciiTheme="minorEastAsia" w:hAnsiTheme="minorEastAsia" w:eastAsiaTheme="minorEastAsia"/>
                <w:kern w:val="0"/>
                <w:sz w:val="20"/>
                <w:szCs w:val="21"/>
              </w:rPr>
              <w:t>安捷伦科技有限公司，</w:t>
            </w:r>
          </w:p>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 xml:space="preserve">Aglient </w:t>
            </w:r>
            <w:r>
              <w:rPr>
                <w:rFonts w:hint="eastAsia" w:asciiTheme="minorEastAsia" w:hAnsiTheme="minorEastAsia" w:eastAsiaTheme="minorEastAsia"/>
                <w:kern w:val="0"/>
                <w:sz w:val="20"/>
                <w:szCs w:val="21"/>
              </w:rPr>
              <w:t>1260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自动进样、二元泵、紫外、示差折光检测器</w:t>
            </w: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维生素、糖等</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液相色谱</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1552" behindDoc="0" locked="0" layoutInCell="1" allowOverlap="1">
                  <wp:simplePos x="0" y="0"/>
                  <wp:positionH relativeFrom="column">
                    <wp:posOffset>224790</wp:posOffset>
                  </wp:positionH>
                  <wp:positionV relativeFrom="paragraph">
                    <wp:posOffset>-650240</wp:posOffset>
                  </wp:positionV>
                  <wp:extent cx="1990725" cy="1524000"/>
                  <wp:effectExtent l="19050" t="0" r="9525" b="0"/>
                  <wp:wrapNone/>
                  <wp:docPr id="33" name="图片 4" descr="LC-zhib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LC-zhibei.jpg"/>
                          <pic:cNvPicPr>
                            <a:picLocks noChangeAspect="1"/>
                          </pic:cNvPicPr>
                        </pic:nvPicPr>
                        <pic:blipFill>
                          <a:blip r:embed="rId23" cstate="print"/>
                          <a:stretch>
                            <a:fillRect/>
                          </a:stretch>
                        </pic:blipFill>
                        <pic:spPr>
                          <a:xfrm>
                            <a:off x="0" y="0"/>
                            <a:ext cx="1990725" cy="15240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70</w:t>
            </w: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8"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岛津公司</w:t>
            </w:r>
          </w:p>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LC-20</w:t>
            </w: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highlight w:val="yellow"/>
              </w:rPr>
            </w:pPr>
            <w:r>
              <w:rPr>
                <w:rFonts w:hint="eastAsia" w:asciiTheme="minorEastAsia" w:hAnsiTheme="minorEastAsia" w:eastAsiaTheme="minorEastAsia"/>
                <w:kern w:val="0"/>
                <w:sz w:val="20"/>
                <w:szCs w:val="21"/>
              </w:rPr>
              <w:t>自动进样、二元泵、紫外、二极管阵列、荧光、蒸发光散射检测器</w:t>
            </w: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营养素等</w:t>
            </w: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半制备液相色谱</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2576" behindDoc="0" locked="0" layoutInCell="1" allowOverlap="1">
                  <wp:simplePos x="0" y="0"/>
                  <wp:positionH relativeFrom="column">
                    <wp:posOffset>212090</wp:posOffset>
                  </wp:positionH>
                  <wp:positionV relativeFrom="paragraph">
                    <wp:posOffset>100965</wp:posOffset>
                  </wp:positionV>
                  <wp:extent cx="2249170" cy="1708785"/>
                  <wp:effectExtent l="0" t="0" r="17780" b="5715"/>
                  <wp:wrapNone/>
                  <wp:docPr id="34" name="图片 43" descr="G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3" descr="GC.jpg"/>
                          <pic:cNvPicPr>
                            <a:picLocks noChangeAspect="1"/>
                          </pic:cNvPicPr>
                        </pic:nvPicPr>
                        <pic:blipFill>
                          <a:blip r:embed="rId24" cstate="print"/>
                          <a:stretch>
                            <a:fillRect/>
                          </a:stretch>
                        </pic:blipFill>
                        <pic:spPr>
                          <a:xfrm>
                            <a:off x="0" y="0"/>
                            <a:ext cx="2249170" cy="17087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38</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热电公司 AS3000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自动进样、二元泵、紫外检测器、自动馏分收集</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毫克级分离制备</w:t>
            </w: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气相色谱仪</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3600" behindDoc="0" locked="0" layoutInCell="1" allowOverlap="1">
                  <wp:simplePos x="0" y="0"/>
                  <wp:positionH relativeFrom="column">
                    <wp:posOffset>330835</wp:posOffset>
                  </wp:positionH>
                  <wp:positionV relativeFrom="paragraph">
                    <wp:posOffset>41275</wp:posOffset>
                  </wp:positionV>
                  <wp:extent cx="2100580" cy="1666240"/>
                  <wp:effectExtent l="0" t="0" r="13970" b="10160"/>
                  <wp:wrapNone/>
                  <wp:docPr id="35" name="图片 49" descr="GC-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9" descr="GC-MS.jpg"/>
                          <pic:cNvPicPr>
                            <a:picLocks noChangeAspect="1"/>
                          </pic:cNvPicPr>
                        </pic:nvPicPr>
                        <pic:blipFill>
                          <a:blip r:embed="rId25" cstate="print"/>
                          <a:stretch>
                            <a:fillRect/>
                          </a:stretch>
                        </pic:blipFill>
                        <pic:spPr>
                          <a:xfrm>
                            <a:off x="0" y="0"/>
                            <a:ext cx="2100580" cy="166624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38</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安捷伦科技有限公司</w:t>
            </w:r>
          </w:p>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Aglient 1200/6410B</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150位自动进样，程序升温，FID、ECD检测器</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添加剂、营养素等</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气相色谱质谱仪</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4624" behindDoc="0" locked="0" layoutInCell="1" allowOverlap="1">
                  <wp:simplePos x="0" y="0"/>
                  <wp:positionH relativeFrom="column">
                    <wp:posOffset>321945</wp:posOffset>
                  </wp:positionH>
                  <wp:positionV relativeFrom="paragraph">
                    <wp:posOffset>81280</wp:posOffset>
                  </wp:positionV>
                  <wp:extent cx="2069465" cy="1515110"/>
                  <wp:effectExtent l="0" t="0" r="6985" b="8890"/>
                  <wp:wrapNone/>
                  <wp:docPr id="36" name="图片 51" descr="GC-M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1" descr="GC-MSMS.jpg"/>
                          <pic:cNvPicPr>
                            <a:picLocks noChangeAspect="1"/>
                          </pic:cNvPicPr>
                        </pic:nvPicPr>
                        <pic:blipFill>
                          <a:blip r:embed="rId26" cstate="print"/>
                          <a:stretch>
                            <a:fillRect/>
                          </a:stretch>
                        </pic:blipFill>
                        <pic:spPr>
                          <a:xfrm>
                            <a:off x="0" y="0"/>
                            <a:ext cx="2069465" cy="15151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70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安捷伦科技有限公司</w:t>
            </w:r>
          </w:p>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 xml:space="preserve">Aglient </w:t>
            </w:r>
            <w:r>
              <w:rPr>
                <w:rFonts w:hint="eastAsia" w:asciiTheme="minorEastAsia" w:hAnsiTheme="minorEastAsia" w:eastAsiaTheme="minorEastAsia"/>
                <w:kern w:val="0"/>
                <w:sz w:val="20"/>
                <w:szCs w:val="21"/>
              </w:rPr>
              <w:t>7890A</w:t>
            </w:r>
            <w:r>
              <w:rPr>
                <w:rFonts w:asciiTheme="minorEastAsia" w:hAnsiTheme="minorEastAsia" w:eastAsiaTheme="minorEastAsia"/>
                <w:kern w:val="0"/>
                <w:sz w:val="20"/>
                <w:szCs w:val="21"/>
              </w:rPr>
              <w:t>/</w:t>
            </w:r>
            <w:r>
              <w:rPr>
                <w:rFonts w:hint="eastAsia" w:asciiTheme="minorEastAsia" w:hAnsiTheme="minorEastAsia" w:eastAsiaTheme="minorEastAsia"/>
                <w:kern w:val="0"/>
                <w:sz w:val="20"/>
                <w:szCs w:val="21"/>
              </w:rPr>
              <w:t>5975C</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自动液体或顶空进样，单四级质谱检测</w:t>
            </w: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脂肪酸、添加剂等</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名称7</w:t>
            </w:r>
          </w:p>
        </w:tc>
        <w:tc>
          <w:tcPr>
            <w:tcW w:w="3095" w:type="dxa"/>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气相色谱质谱仪</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100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安捷伦科技有限公司，</w:t>
            </w:r>
          </w:p>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Aglient</w:t>
            </w:r>
            <w:r>
              <w:rPr>
                <w:rFonts w:hint="eastAsia" w:asciiTheme="minorEastAsia" w:hAnsiTheme="minorEastAsia" w:eastAsiaTheme="minorEastAsia"/>
                <w:kern w:val="0"/>
                <w:sz w:val="20"/>
                <w:szCs w:val="21"/>
              </w:rPr>
              <w:t>7890A/7000C</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150位自动进样，串四级质谱检测</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食品污染物</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原子吸收光谱仪</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5648" behindDoc="0" locked="0" layoutInCell="1" allowOverlap="1">
                  <wp:simplePos x="0" y="0"/>
                  <wp:positionH relativeFrom="column">
                    <wp:posOffset>28575</wp:posOffset>
                  </wp:positionH>
                  <wp:positionV relativeFrom="paragraph">
                    <wp:posOffset>41275</wp:posOffset>
                  </wp:positionV>
                  <wp:extent cx="2600960" cy="1891665"/>
                  <wp:effectExtent l="0" t="0" r="8890" b="13335"/>
                  <wp:wrapNone/>
                  <wp:docPr id="37" name="图片 52" descr="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2" descr="AAS.jpg"/>
                          <pic:cNvPicPr>
                            <a:picLocks noChangeAspect="1"/>
                          </pic:cNvPicPr>
                        </pic:nvPicPr>
                        <pic:blipFill>
                          <a:blip r:embed="rId27" cstate="print"/>
                          <a:stretch>
                            <a:fillRect/>
                          </a:stretch>
                        </pic:blipFill>
                        <pic:spPr>
                          <a:xfrm>
                            <a:off x="0" y="0"/>
                            <a:ext cx="2600960" cy="18916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30</w:t>
            </w: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8"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普析通用 TAS-990</w:t>
            </w: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火焰、石墨炉检测</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微量元素、重金属</w:t>
            </w:r>
          </w:p>
          <w:p>
            <w:pPr>
              <w:spacing w:line="220" w:lineRule="atLeast"/>
              <w:rPr>
                <w:rFonts w:asciiTheme="minorEastAsia" w:hAnsiTheme="minorEastAsia" w:eastAsiaTheme="minorEastAsia"/>
                <w:kern w:val="0"/>
                <w:sz w:val="20"/>
                <w:szCs w:val="21"/>
              </w:rPr>
            </w:pPr>
          </w:p>
        </w:tc>
        <w:tc>
          <w:tcPr>
            <w:tcW w:w="4986" w:type="dxa"/>
            <w:gridSpan w:val="4"/>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名称9</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原子荧光光谱仪</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6672" behindDoc="0" locked="0" layoutInCell="1" allowOverlap="1">
                  <wp:simplePos x="0" y="0"/>
                  <wp:positionH relativeFrom="column">
                    <wp:posOffset>-17780</wp:posOffset>
                  </wp:positionH>
                  <wp:positionV relativeFrom="paragraph">
                    <wp:posOffset>12700</wp:posOffset>
                  </wp:positionV>
                  <wp:extent cx="2433320" cy="1790065"/>
                  <wp:effectExtent l="0" t="0" r="5080" b="635"/>
                  <wp:wrapNone/>
                  <wp:docPr id="38" name="图片 53" descr="A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3" descr="AFS.jpg"/>
                          <pic:cNvPicPr>
                            <a:picLocks noChangeAspect="1"/>
                          </pic:cNvPicPr>
                        </pic:nvPicPr>
                        <pic:blipFill>
                          <a:blip r:embed="rId28" cstate="print"/>
                          <a:stretch>
                            <a:fillRect/>
                          </a:stretch>
                        </pic:blipFill>
                        <pic:spPr>
                          <a:xfrm>
                            <a:off x="0" y="0"/>
                            <a:ext cx="2433320" cy="1790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12</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4"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北京吉天公司 AFS-9130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自动进样，氢化物发生原子荧光检测</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砷、汞</w:t>
            </w: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名称10</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全自动定氮仪</w:t>
            </w:r>
          </w:p>
        </w:tc>
        <w:tc>
          <w:tcPr>
            <w:tcW w:w="4986" w:type="dxa"/>
            <w:gridSpan w:val="4"/>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7696" behindDoc="0" locked="0" layoutInCell="1" allowOverlap="1">
                  <wp:simplePos x="0" y="0"/>
                  <wp:positionH relativeFrom="column">
                    <wp:posOffset>45720</wp:posOffset>
                  </wp:positionH>
                  <wp:positionV relativeFrom="paragraph">
                    <wp:posOffset>23495</wp:posOffset>
                  </wp:positionV>
                  <wp:extent cx="2497455" cy="1885315"/>
                  <wp:effectExtent l="0" t="0" r="17145" b="635"/>
                  <wp:wrapNone/>
                  <wp:docPr id="39" name="图片 54" descr="cudanb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4" descr="cudanbai.jpg"/>
                          <pic:cNvPicPr>
                            <a:picLocks noChangeAspect="1"/>
                          </pic:cNvPicPr>
                        </pic:nvPicPr>
                        <pic:blipFill>
                          <a:blip r:embed="rId29" cstate="print"/>
                          <a:stretch>
                            <a:fillRect/>
                          </a:stretch>
                        </pic:blipFill>
                        <pic:spPr>
                          <a:xfrm>
                            <a:off x="0" y="0"/>
                            <a:ext cx="2497455" cy="188531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20</w:t>
            </w: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福斯公司 Keeltec</w:t>
            </w:r>
            <w:r>
              <w:rPr>
                <w:rFonts w:hint="eastAsia" w:asciiTheme="minorEastAsia" w:hAnsiTheme="minorEastAsia" w:eastAsiaTheme="minorEastAsia"/>
                <w:kern w:val="0"/>
                <w:sz w:val="20"/>
                <w:szCs w:val="21"/>
                <w:vertAlign w:val="superscript"/>
              </w:rPr>
              <w:t>TM</w:t>
            </w:r>
            <w:r>
              <w:rPr>
                <w:rFonts w:hint="eastAsia" w:asciiTheme="minorEastAsia" w:hAnsiTheme="minorEastAsia" w:eastAsiaTheme="minorEastAsia"/>
                <w:kern w:val="0"/>
                <w:sz w:val="20"/>
                <w:szCs w:val="21"/>
              </w:rPr>
              <w:t xml:space="preserve"> 8400</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自动滴定</w:t>
            </w:r>
          </w:p>
          <w:p>
            <w:pPr>
              <w:spacing w:line="220" w:lineRule="atLeast"/>
              <w:rPr>
                <w:rFonts w:asciiTheme="minorEastAsia" w:hAnsiTheme="minorEastAsia" w:eastAsiaTheme="minorEastAsia"/>
                <w:kern w:val="0"/>
                <w:sz w:val="20"/>
                <w:szCs w:val="21"/>
              </w:rPr>
            </w:pP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定氮</w:t>
            </w:r>
          </w:p>
          <w:p>
            <w:pPr>
              <w:spacing w:line="220" w:lineRule="atLeast"/>
              <w:rPr>
                <w:rFonts w:asciiTheme="minorEastAsia" w:hAnsiTheme="minorEastAsia" w:eastAsiaTheme="minorEastAsia"/>
                <w:kern w:val="0"/>
                <w:sz w:val="20"/>
                <w:szCs w:val="21"/>
              </w:rPr>
            </w:pPr>
          </w:p>
        </w:tc>
        <w:tc>
          <w:tcPr>
            <w:tcW w:w="4986" w:type="dxa"/>
            <w:gridSpan w:val="4"/>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联系人</w:t>
            </w:r>
          </w:p>
        </w:tc>
        <w:tc>
          <w:tcPr>
            <w:tcW w:w="8081" w:type="dxa"/>
            <w:gridSpan w:val="5"/>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王宗义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联系电话</w:t>
            </w:r>
          </w:p>
        </w:tc>
        <w:tc>
          <w:tcPr>
            <w:tcW w:w="8081" w:type="dxa"/>
            <w:gridSpan w:val="5"/>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13651226099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881" w:type="dxa"/>
            <w:vAlign w:val="center"/>
          </w:tcPr>
          <w:p>
            <w:pPr>
              <w:spacing w:line="220" w:lineRule="atLeast"/>
              <w:rPr>
                <w:rFonts w:asciiTheme="minorEastAsia" w:hAnsiTheme="minorEastAsia" w:eastAsiaTheme="minorEastAsia"/>
                <w:b/>
                <w:kern w:val="0"/>
                <w:sz w:val="20"/>
                <w:szCs w:val="21"/>
                <w:highlight w:val="yellow"/>
              </w:rPr>
            </w:pPr>
            <w:r>
              <w:rPr>
                <w:rFonts w:hint="eastAsia" w:asciiTheme="minorEastAsia" w:hAnsiTheme="minorEastAsia" w:eastAsiaTheme="minorEastAsia"/>
                <w:b/>
                <w:kern w:val="0"/>
                <w:sz w:val="20"/>
                <w:szCs w:val="21"/>
              </w:rPr>
              <w:t>E-mail</w:t>
            </w:r>
          </w:p>
        </w:tc>
        <w:tc>
          <w:tcPr>
            <w:tcW w:w="8081" w:type="dxa"/>
            <w:gridSpan w:val="5"/>
            <w:vAlign w:val="center"/>
          </w:tcPr>
          <w:p>
            <w:pPr>
              <w:spacing w:line="220" w:lineRule="atLeast"/>
              <w:rPr>
                <w:rFonts w:asciiTheme="minorEastAsia" w:hAnsiTheme="minorEastAsia" w:eastAsiaTheme="minorEastAsia"/>
                <w:kern w:val="0"/>
                <w:sz w:val="20"/>
                <w:szCs w:val="21"/>
                <w:highlight w:val="yellow"/>
              </w:rPr>
            </w:pPr>
            <w:r>
              <w:rPr>
                <w:rFonts w:asciiTheme="minorEastAsia" w:hAnsiTheme="minorEastAsia" w:eastAsiaTheme="minorEastAsia"/>
                <w:kern w:val="0"/>
                <w:sz w:val="20"/>
                <w:szCs w:val="21"/>
              </w:rPr>
              <w:t>Wangzongyi</w:t>
            </w:r>
            <w:r>
              <w:rPr>
                <w:rFonts w:hint="eastAsia" w:asciiTheme="minorEastAsia" w:hAnsiTheme="minorEastAsia" w:eastAsiaTheme="minorEastAsia"/>
                <w:kern w:val="0"/>
                <w:sz w:val="20"/>
                <w:szCs w:val="21"/>
              </w:rPr>
              <w:t>001@sina.com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全自动纤维分析仪</w:t>
            </w:r>
          </w:p>
        </w:tc>
        <w:tc>
          <w:tcPr>
            <w:tcW w:w="4915" w:type="dxa"/>
            <w:gridSpan w:val="3"/>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1895475" cy="1323975"/>
                  <wp:effectExtent l="19050" t="0" r="9525"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noChangeArrowheads="1"/>
                          </pic:cNvPicPr>
                        </pic:nvPicPr>
                        <pic:blipFill>
                          <a:blip r:embed="rId30" cstate="print"/>
                          <a:srcRect/>
                          <a:stretch>
                            <a:fillRect/>
                          </a:stretch>
                        </pic:blipFill>
                        <pic:spPr>
                          <a:xfrm>
                            <a:off x="0" y="0"/>
                            <a:ext cx="1895475" cy="132397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6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12.5</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6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美国ANKOM</w:t>
            </w:r>
          </w:p>
        </w:tc>
        <w:tc>
          <w:tcPr>
            <w:tcW w:w="4915" w:type="dxa"/>
            <w:gridSpan w:val="3"/>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一次可以检测24个样品，测量范围0</w:t>
            </w:r>
            <w:r>
              <w:rPr>
                <w:rFonts w:eastAsiaTheme="minorEastAsia"/>
                <w:kern w:val="0"/>
                <w:sz w:val="20"/>
                <w:szCs w:val="21"/>
              </w:rPr>
              <w:t>~</w:t>
            </w:r>
            <w:r>
              <w:rPr>
                <w:rFonts w:hint="eastAsia" w:asciiTheme="minorEastAsia" w:hAnsiTheme="minorEastAsia" w:eastAsiaTheme="minorEastAsia"/>
                <w:kern w:val="0"/>
                <w:sz w:val="20"/>
                <w:szCs w:val="21"/>
              </w:rPr>
              <w:t>100%，处理时间60-120分钟</w:t>
            </w:r>
          </w:p>
        </w:tc>
        <w:tc>
          <w:tcPr>
            <w:tcW w:w="4915" w:type="dxa"/>
            <w:gridSpan w:val="3"/>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检测ADF、NDF、ADL等含量</w:t>
            </w:r>
          </w:p>
        </w:tc>
        <w:tc>
          <w:tcPr>
            <w:tcW w:w="4915" w:type="dxa"/>
            <w:gridSpan w:val="3"/>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气相色谱仪</w:t>
            </w:r>
          </w:p>
        </w:tc>
        <w:tc>
          <w:tcPr>
            <w:tcW w:w="4915" w:type="dxa"/>
            <w:gridSpan w:val="3"/>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anchor distT="0" distB="0" distL="114300" distR="114300" simplePos="0" relativeHeight="251679744" behindDoc="0" locked="0" layoutInCell="1" allowOverlap="1">
                  <wp:simplePos x="0" y="0"/>
                  <wp:positionH relativeFrom="column">
                    <wp:posOffset>58420</wp:posOffset>
                  </wp:positionH>
                  <wp:positionV relativeFrom="paragraph">
                    <wp:posOffset>49530</wp:posOffset>
                  </wp:positionV>
                  <wp:extent cx="2945130" cy="2249805"/>
                  <wp:effectExtent l="0" t="0" r="7620" b="17145"/>
                  <wp:wrapNone/>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31" cstate="print"/>
                          <a:srcRect/>
                          <a:stretch>
                            <a:fillRect/>
                          </a:stretch>
                        </pic:blipFill>
                        <pic:spPr>
                          <a:xfrm>
                            <a:off x="0" y="0"/>
                            <a:ext cx="2945130" cy="2249805"/>
                          </a:xfrm>
                          <a:prstGeom prst="rect">
                            <a:avLst/>
                          </a:prstGeom>
                          <a:noFill/>
                          <a:ln w="9525">
                            <a:noFill/>
                            <a:miter lim="800000"/>
                            <a:headEnd/>
                            <a:tailEnd/>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29.6</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美国Agilent</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保留时间重现性＜0.008%或＜0.0008min；峰面积重现性＜1%RSD</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color w:val="000000" w:themeColor="text1"/>
                <w:kern w:val="0"/>
                <w:sz w:val="20"/>
                <w:szCs w:val="21"/>
                <w14:textFill>
                  <w14:solidFill>
                    <w14:schemeClr w14:val="tx1"/>
                  </w14:solidFill>
                </w14:textFill>
              </w:rPr>
            </w:pPr>
            <w:r>
              <w:rPr>
                <w:rFonts w:asciiTheme="minorEastAsia" w:hAnsiTheme="minorEastAsia" w:eastAsiaTheme="minorEastAsia"/>
                <w:color w:val="000000" w:themeColor="text1"/>
                <w:kern w:val="0"/>
                <w:sz w:val="20"/>
                <w:szCs w:val="21"/>
                <w14:textFill>
                  <w14:solidFill>
                    <w14:schemeClr w14:val="tx1"/>
                  </w14:solidFill>
                </w14:textFill>
              </w:rPr>
              <w:t>它</w:t>
            </w:r>
            <w:r>
              <w:rPr>
                <w:rFonts w:asciiTheme="minorEastAsia" w:hAnsiTheme="minorEastAsia" w:eastAsiaTheme="minorEastAsia"/>
                <w:kern w:val="0"/>
                <w:sz w:val="20"/>
                <w:szCs w:val="21"/>
              </w:rPr>
              <w:t>除用于定量和</w:t>
            </w:r>
            <w:r>
              <w:fldChar w:fldCharType="begin"/>
            </w:r>
            <w:r>
              <w:instrText xml:space="preserve"> HYPERLINK "http://baike.sogou.com/lemma/ShowInnerLink.htm?lemmaId=345320&amp;ss_c=ssc.citiao.link" \t "_blank" </w:instrText>
            </w:r>
            <w:r>
              <w:fldChar w:fldCharType="separate"/>
            </w:r>
            <w:r>
              <w:rPr>
                <w:rFonts w:asciiTheme="minorEastAsia" w:hAnsiTheme="minorEastAsia" w:eastAsiaTheme="minorEastAsia"/>
                <w:kern w:val="0"/>
                <w:sz w:val="20"/>
                <w:szCs w:val="21"/>
              </w:rPr>
              <w:t>定性分析</w:t>
            </w:r>
            <w:r>
              <w:rPr>
                <w:rFonts w:asciiTheme="minorEastAsia" w:hAnsiTheme="minorEastAsia" w:eastAsiaTheme="minorEastAsia"/>
                <w:kern w:val="0"/>
                <w:sz w:val="20"/>
                <w:szCs w:val="21"/>
              </w:rPr>
              <w:fldChar w:fldCharType="end"/>
            </w:r>
            <w:r>
              <w:rPr>
                <w:rFonts w:asciiTheme="minorEastAsia" w:hAnsiTheme="minorEastAsia" w:eastAsiaTheme="minorEastAsia"/>
                <w:kern w:val="0"/>
                <w:sz w:val="20"/>
                <w:szCs w:val="21"/>
              </w:rPr>
              <w:t>外，还能测定样品在</w:t>
            </w:r>
            <w:r>
              <w:fldChar w:fldCharType="begin"/>
            </w:r>
            <w:r>
              <w:instrText xml:space="preserve"> HYPERLINK "http://baike.sogou.com/lemma/ShowInnerLink.htm?lemmaId=354082&amp;ss_c=ssc.citiao.link" \t "_blank" </w:instrText>
            </w:r>
            <w:r>
              <w:fldChar w:fldCharType="separate"/>
            </w:r>
            <w:r>
              <w:rPr>
                <w:rFonts w:asciiTheme="minorEastAsia" w:hAnsiTheme="minorEastAsia" w:eastAsiaTheme="minorEastAsia"/>
                <w:kern w:val="0"/>
                <w:sz w:val="20"/>
                <w:szCs w:val="21"/>
              </w:rPr>
              <w:t>固定相</w:t>
            </w:r>
            <w:r>
              <w:rPr>
                <w:rFonts w:asciiTheme="minorEastAsia" w:hAnsiTheme="minorEastAsia" w:eastAsiaTheme="minorEastAsia"/>
                <w:kern w:val="0"/>
                <w:sz w:val="20"/>
                <w:szCs w:val="21"/>
              </w:rPr>
              <w:fldChar w:fldCharType="end"/>
            </w:r>
            <w:r>
              <w:rPr>
                <w:rFonts w:asciiTheme="minorEastAsia" w:hAnsiTheme="minorEastAsia" w:eastAsiaTheme="minorEastAsia"/>
                <w:kern w:val="0"/>
                <w:sz w:val="20"/>
                <w:szCs w:val="21"/>
              </w:rPr>
              <w:t>上的</w:t>
            </w:r>
            <w:r>
              <w:fldChar w:fldCharType="begin"/>
            </w:r>
            <w:r>
              <w:instrText xml:space="preserve"> HYPERLINK "http://baike.sogou.com/lemma/ShowInnerLink.htm?lemmaId=180804&amp;ss_c=ssc.citiao.link" \t "_blank" </w:instrText>
            </w:r>
            <w:r>
              <w:fldChar w:fldCharType="separate"/>
            </w:r>
            <w:r>
              <w:rPr>
                <w:rFonts w:asciiTheme="minorEastAsia" w:hAnsiTheme="minorEastAsia" w:eastAsiaTheme="minorEastAsia"/>
                <w:kern w:val="0"/>
                <w:sz w:val="20"/>
                <w:szCs w:val="21"/>
              </w:rPr>
              <w:t>分配系数</w:t>
            </w:r>
            <w:r>
              <w:rPr>
                <w:rFonts w:asciiTheme="minorEastAsia" w:hAnsiTheme="minorEastAsia" w:eastAsiaTheme="minorEastAsia"/>
                <w:kern w:val="0"/>
                <w:sz w:val="20"/>
                <w:szCs w:val="21"/>
              </w:rPr>
              <w:fldChar w:fldCharType="end"/>
            </w:r>
            <w:r>
              <w:rPr>
                <w:rFonts w:asciiTheme="minorEastAsia" w:hAnsiTheme="minorEastAsia" w:eastAsiaTheme="minorEastAsia"/>
                <w:kern w:val="0"/>
                <w:sz w:val="20"/>
                <w:szCs w:val="21"/>
              </w:rPr>
              <w:t>、</w:t>
            </w:r>
            <w:r>
              <w:fldChar w:fldCharType="begin"/>
            </w:r>
            <w:r>
              <w:instrText xml:space="preserve"> HYPERLINK "http://baike.sogou.com/lemma/ShowInnerLink.htm?lemmaId=74403127&amp;ss_c=ssc.citiao.link" \t "_blank" </w:instrText>
            </w:r>
            <w:r>
              <w:fldChar w:fldCharType="separate"/>
            </w:r>
            <w:r>
              <w:rPr>
                <w:rFonts w:asciiTheme="minorEastAsia" w:hAnsiTheme="minorEastAsia" w:eastAsiaTheme="minorEastAsia"/>
                <w:kern w:val="0"/>
                <w:sz w:val="20"/>
                <w:szCs w:val="21"/>
              </w:rPr>
              <w:t>活度系数</w:t>
            </w:r>
            <w:r>
              <w:rPr>
                <w:rFonts w:asciiTheme="minorEastAsia" w:hAnsiTheme="minorEastAsia" w:eastAsiaTheme="minorEastAsia"/>
                <w:kern w:val="0"/>
                <w:sz w:val="20"/>
                <w:szCs w:val="21"/>
              </w:rPr>
              <w:fldChar w:fldCharType="end"/>
            </w:r>
            <w:r>
              <w:rPr>
                <w:rFonts w:asciiTheme="minorEastAsia" w:hAnsiTheme="minorEastAsia" w:eastAsiaTheme="minorEastAsia"/>
                <w:kern w:val="0"/>
                <w:sz w:val="20"/>
                <w:szCs w:val="21"/>
              </w:rPr>
              <w:t>、分子量和</w:t>
            </w:r>
            <w:r>
              <w:fldChar w:fldCharType="begin"/>
            </w:r>
            <w:r>
              <w:instrText xml:space="preserve"> HYPERLINK "http://baike.sogou.com/lemma/ShowInnerLink.htm?lemmaId=7616433&amp;ss_c=ssc.citiao.link" \t "_blank" </w:instrText>
            </w:r>
            <w:r>
              <w:fldChar w:fldCharType="separate"/>
            </w:r>
            <w:r>
              <w:rPr>
                <w:rFonts w:asciiTheme="minorEastAsia" w:hAnsiTheme="minorEastAsia" w:eastAsiaTheme="minorEastAsia"/>
                <w:kern w:val="0"/>
                <w:sz w:val="20"/>
                <w:szCs w:val="21"/>
              </w:rPr>
              <w:t>比表面积</w:t>
            </w:r>
            <w:r>
              <w:rPr>
                <w:rFonts w:asciiTheme="minorEastAsia" w:hAnsiTheme="minorEastAsia" w:eastAsiaTheme="minorEastAsia"/>
                <w:kern w:val="0"/>
                <w:sz w:val="20"/>
                <w:szCs w:val="21"/>
              </w:rPr>
              <w:fldChar w:fldCharType="end"/>
            </w:r>
            <w:r>
              <w:rPr>
                <w:rFonts w:asciiTheme="minorEastAsia" w:hAnsiTheme="minorEastAsia" w:eastAsiaTheme="minorEastAsia"/>
                <w:kern w:val="0"/>
                <w:sz w:val="20"/>
                <w:szCs w:val="21"/>
              </w:rPr>
              <w:t>等物理化学常数</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快速定氮仪</w:t>
            </w:r>
          </w:p>
        </w:tc>
        <w:tc>
          <w:tcPr>
            <w:tcW w:w="4915" w:type="dxa"/>
            <w:gridSpan w:val="3"/>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1943100" cy="1457325"/>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noChangeArrowheads="1"/>
                          </pic:cNvPicPr>
                        </pic:nvPicPr>
                        <pic:blipFill>
                          <a:blip r:embed="rId32" cstate="print"/>
                          <a:srcRect/>
                          <a:stretch>
                            <a:fillRect/>
                          </a:stretch>
                        </pic:blipFill>
                        <pic:spPr>
                          <a:xfrm>
                            <a:off x="0" y="0"/>
                            <a:ext cx="1943100" cy="145732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42.8</w:t>
            </w:r>
          </w:p>
        </w:tc>
        <w:tc>
          <w:tcPr>
            <w:tcW w:w="4915" w:type="dxa"/>
            <w:gridSpan w:val="3"/>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德国elementar</w:t>
            </w:r>
          </w:p>
        </w:tc>
        <w:tc>
          <w:tcPr>
            <w:tcW w:w="4915" w:type="dxa"/>
            <w:gridSpan w:val="3"/>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一次可测60个样品，动态测量范围0</w:t>
            </w:r>
            <w:r>
              <w:rPr>
                <w:rFonts w:eastAsiaTheme="minorEastAsia"/>
                <w:kern w:val="0"/>
                <w:sz w:val="20"/>
                <w:szCs w:val="21"/>
              </w:rPr>
              <w:t>~</w:t>
            </w:r>
            <w:r>
              <w:rPr>
                <w:rFonts w:hint="eastAsia" w:eastAsiaTheme="minorEastAsia"/>
                <w:kern w:val="0"/>
                <w:sz w:val="20"/>
                <w:szCs w:val="21"/>
              </w:rPr>
              <w:t>100%N，样品检测时间3-5分钟</w:t>
            </w:r>
          </w:p>
        </w:tc>
        <w:tc>
          <w:tcPr>
            <w:tcW w:w="4915" w:type="dxa"/>
            <w:gridSpan w:val="3"/>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检测样品氮含量</w:t>
            </w:r>
          </w:p>
        </w:tc>
        <w:tc>
          <w:tcPr>
            <w:tcW w:w="4915" w:type="dxa"/>
            <w:gridSpan w:val="3"/>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液相色谱仪</w:t>
            </w:r>
          </w:p>
        </w:tc>
        <w:tc>
          <w:tcPr>
            <w:tcW w:w="4915" w:type="dxa"/>
            <w:gridSpan w:val="3"/>
            <w:vMerge w:val="restart"/>
            <w:vAlign w:val="center"/>
          </w:tcPr>
          <w:p>
            <w:pPr>
              <w:spacing w:line="22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drawing>
                <wp:inline distT="0" distB="0" distL="0" distR="0">
                  <wp:extent cx="1981200" cy="161925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noChangeArrowheads="1"/>
                          </pic:cNvPicPr>
                        </pic:nvPicPr>
                        <pic:blipFill>
                          <a:blip r:embed="rId33" cstate="print"/>
                          <a:srcRect/>
                          <a:stretch>
                            <a:fillRect/>
                          </a:stretch>
                        </pic:blipFill>
                        <pic:spPr>
                          <a:xfrm>
                            <a:off x="0" y="0"/>
                            <a:ext cx="1981200" cy="161925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6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28</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6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Exformma EX1600 液相色谱</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rPr>
                <w:rFonts w:asciiTheme="minorEastAsia" w:hAnsiTheme="minorEastAsia" w:eastAsiaTheme="minorEastAsia"/>
                <w:kern w:val="0"/>
                <w:sz w:val="20"/>
                <w:szCs w:val="21"/>
              </w:rPr>
            </w:pPr>
            <w:r>
              <w:rPr>
                <w:rFonts w:hint="eastAsia" w:asciiTheme="minorEastAsia" w:hAnsiTheme="minorEastAsia" w:eastAsiaTheme="minorEastAsia"/>
                <w:color w:val="000000"/>
                <w:kern w:val="0"/>
                <w:sz w:val="20"/>
                <w:szCs w:val="21"/>
                <w:shd w:val="clear" w:color="auto" w:fill="FFFFFF"/>
              </w:rPr>
              <w:t>波长范围 190~700nm 190~900nm,</w:t>
            </w:r>
            <w:r>
              <w:rPr>
                <w:rFonts w:hint="eastAsia" w:asciiTheme="minorEastAsia" w:hAnsiTheme="minorEastAsia" w:eastAsiaTheme="minorEastAsia"/>
                <w:kern w:val="0"/>
                <w:sz w:val="20"/>
                <w:szCs w:val="21"/>
              </w:rPr>
              <w:t>流量设定范围 0.001~9.999mL/min 0.01~40mL/min </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主要测定氨基酸等成分</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EF-INV落射荧光装置</w:t>
            </w:r>
          </w:p>
        </w:tc>
        <w:tc>
          <w:tcPr>
            <w:tcW w:w="4915" w:type="dxa"/>
            <w:gridSpan w:val="3"/>
            <w:vMerge w:val="restart"/>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drawing>
                <wp:anchor distT="0" distB="0" distL="114300" distR="114300" simplePos="0" relativeHeight="251680768" behindDoc="0" locked="0" layoutInCell="1" allowOverlap="1">
                  <wp:simplePos x="0" y="0"/>
                  <wp:positionH relativeFrom="column">
                    <wp:posOffset>650875</wp:posOffset>
                  </wp:positionH>
                  <wp:positionV relativeFrom="paragraph">
                    <wp:posOffset>-831215</wp:posOffset>
                  </wp:positionV>
                  <wp:extent cx="1608455" cy="2000250"/>
                  <wp:effectExtent l="247650" t="0" r="220345" b="0"/>
                  <wp:wrapNone/>
                  <wp:docPr id="22" name="图片 21" descr="C:\Users\x\Documents\Tencent Files\287314278\Image\C2C\91B947EC698C5EDF1275A8A609D24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C:\Users\x\Documents\Tencent Files\287314278\Image\C2C\91B947EC698C5EDF1275A8A609D24E28.png"/>
                          <pic:cNvPicPr>
                            <a:picLocks noChangeAspect="1" noChangeArrowheads="1"/>
                          </pic:cNvPicPr>
                        </pic:nvPicPr>
                        <pic:blipFill>
                          <a:blip r:embed="rId34" cstate="print"/>
                          <a:srcRect/>
                          <a:stretch>
                            <a:fillRect/>
                          </a:stretch>
                        </pic:blipFill>
                        <pic:spPr>
                          <a:xfrm rot="5400000">
                            <a:off x="0" y="0"/>
                            <a:ext cx="1608455" cy="2000250"/>
                          </a:xfrm>
                          <a:prstGeom prst="rect">
                            <a:avLst/>
                          </a:prstGeom>
                          <a:noFill/>
                          <a:ln w="9525">
                            <a:noFill/>
                            <a:miter lim="800000"/>
                            <a:headEnd/>
                            <a:tailEnd/>
                          </a:ln>
                          <a:scene3d>
                            <a:camera prst="orthographicFront">
                              <a:rot lat="0" lon="0" rev="0"/>
                            </a:camera>
                            <a:lightRig rig="threePt" dir="t"/>
                          </a:scene3d>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20.08</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Motic EF-INV</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Theme="minorEastAsia" w:hAnsiTheme="minorEastAsia" w:eastAsiaTheme="minorEastAsia"/>
                <w:color w:val="000000" w:themeColor="text1"/>
                <w:kern w:val="0"/>
                <w:sz w:val="20"/>
                <w:szCs w:val="21"/>
                <w14:textFill>
                  <w14:solidFill>
                    <w14:schemeClr w14:val="tx1"/>
                  </w14:solidFill>
                </w14:textFill>
              </w:rPr>
            </w:pPr>
            <w:r>
              <w:rPr>
                <w:rFonts w:hint="eastAsia" w:asciiTheme="minorEastAsia" w:hAnsiTheme="minorEastAsia" w:eastAsiaTheme="minorEastAsia"/>
                <w:color w:val="000000" w:themeColor="text1"/>
                <w:kern w:val="0"/>
                <w:sz w:val="20"/>
                <w:szCs w:val="21"/>
                <w:shd w:val="clear" w:color="auto" w:fill="FFFFFF"/>
                <w14:textFill>
                  <w14:solidFill>
                    <w14:schemeClr w14:val="tx1"/>
                  </w14:solidFill>
                </w14:textFill>
              </w:rPr>
              <w:t>铰链式三目筒45°倾斜，疃距调节范围：55-75mm</w:t>
            </w:r>
          </w:p>
        </w:tc>
        <w:tc>
          <w:tcPr>
            <w:tcW w:w="4915" w:type="dxa"/>
            <w:gridSpan w:val="3"/>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color w:val="000000" w:themeColor="text1"/>
                <w:kern w:val="0"/>
                <w:sz w:val="20"/>
                <w:szCs w:val="21"/>
                <w14:textFill>
                  <w14:solidFill>
                    <w14:schemeClr w14:val="tx1"/>
                  </w14:solidFill>
                </w14:textFill>
              </w:rPr>
            </w:pPr>
            <w:r>
              <w:rPr>
                <w:rFonts w:hint="eastAsia" w:asciiTheme="minorEastAsia" w:hAnsiTheme="minorEastAsia" w:eastAsiaTheme="minorEastAsia"/>
                <w:color w:val="000000" w:themeColor="text1"/>
                <w:kern w:val="0"/>
                <w:sz w:val="20"/>
                <w:szCs w:val="21"/>
                <w:shd w:val="clear" w:color="auto" w:fill="FFFFFF"/>
                <w14:textFill>
                  <w14:solidFill>
                    <w14:schemeClr w14:val="tx1"/>
                  </w14:solidFill>
                </w14:textFill>
              </w:rPr>
              <w:t>应用于生物学、组织学、微生物学，提供了高亮度、高清晰度和高对比度的荧光显微像</w:t>
            </w:r>
          </w:p>
        </w:tc>
        <w:tc>
          <w:tcPr>
            <w:tcW w:w="4915" w:type="dxa"/>
            <w:gridSpan w:val="3"/>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Height w:val="397"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联系人</w:t>
            </w:r>
          </w:p>
        </w:tc>
        <w:tc>
          <w:tcPr>
            <w:tcW w:w="8010" w:type="dxa"/>
            <w:gridSpan w:val="4"/>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方洛云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Height w:val="397"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联系电话</w:t>
            </w:r>
          </w:p>
        </w:tc>
        <w:tc>
          <w:tcPr>
            <w:tcW w:w="8010" w:type="dxa"/>
            <w:gridSpan w:val="4"/>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13801326625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71" w:type="dxa"/>
          <w:trHeight w:val="397"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Email</w:t>
            </w:r>
          </w:p>
        </w:tc>
        <w:tc>
          <w:tcPr>
            <w:tcW w:w="8010" w:type="dxa"/>
            <w:gridSpan w:val="4"/>
            <w:vAlign w:val="center"/>
          </w:tcPr>
          <w:p>
            <w:pPr>
              <w:spacing w:line="220" w:lineRule="atLeast"/>
              <w:rPr>
                <w:rFonts w:asciiTheme="minorEastAsia" w:hAnsiTheme="minorEastAsia" w:eastAsiaTheme="minorEastAsia"/>
                <w:kern w:val="0"/>
                <w:sz w:val="20"/>
                <w:szCs w:val="21"/>
              </w:rPr>
            </w:pPr>
            <w:r>
              <w:fldChar w:fldCharType="begin"/>
            </w:r>
            <w:r>
              <w:instrText xml:space="preserve"> HYPERLINK "mailto:cownutrition@163.com" </w:instrText>
            </w:r>
            <w:r>
              <w:fldChar w:fldCharType="separate"/>
            </w:r>
            <w:r>
              <w:rPr>
                <w:rFonts w:asciiTheme="minorEastAsia" w:hAnsiTheme="minorEastAsia" w:eastAsiaTheme="minorEastAsia"/>
                <w:kern w:val="0"/>
                <w:sz w:val="20"/>
                <w:szCs w:val="21"/>
              </w:rPr>
              <w:t>cownutrition@163.com</w:t>
            </w:r>
            <w:r>
              <w:rPr>
                <w:rFonts w:asciiTheme="minorEastAsia" w:hAnsiTheme="minorEastAsia" w:eastAsiaTheme="minorEastAsia"/>
                <w:kern w:val="0"/>
                <w:sz w:val="20"/>
                <w:szCs w:val="21"/>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名称1</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全自动体视荧光图像分析系统</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drawing>
                <wp:anchor distT="0" distB="0" distL="114300" distR="114300" simplePos="0" relativeHeight="251682816" behindDoc="0" locked="0" layoutInCell="1" allowOverlap="1">
                  <wp:simplePos x="0" y="0"/>
                  <wp:positionH relativeFrom="column">
                    <wp:posOffset>-35560</wp:posOffset>
                  </wp:positionH>
                  <wp:positionV relativeFrom="paragraph">
                    <wp:posOffset>570865</wp:posOffset>
                  </wp:positionV>
                  <wp:extent cx="3007360" cy="2255520"/>
                  <wp:effectExtent l="0" t="0" r="2540" b="11430"/>
                  <wp:wrapNone/>
                  <wp:docPr id="24" name="图片 6" descr="C:\Users\Administrator\Desktop\全自动体视荧光图像分析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C:\Users\Administrator\Desktop\全自动体视荧光图像分析系统.JPG"/>
                          <pic:cNvPicPr>
                            <a:picLocks noChangeAspect="1" noChangeArrowheads="1"/>
                          </pic:cNvPicPr>
                        </pic:nvPicPr>
                        <pic:blipFill>
                          <a:blip r:embed="rId35" cstate="print"/>
                          <a:srcRect/>
                          <a:stretch>
                            <a:fillRect/>
                          </a:stretch>
                        </pic:blipFill>
                        <pic:spPr>
                          <a:xfrm rot="10800000" flipV="1">
                            <a:off x="0" y="0"/>
                            <a:ext cx="3007360" cy="2255520"/>
                          </a:xfrm>
                          <a:prstGeom prst="rect">
                            <a:avLst/>
                          </a:prstGeom>
                          <a:noFill/>
                          <a:ln w="9525">
                            <a:noFill/>
                            <a:miter lim="800000"/>
                            <a:headEnd/>
                            <a:tailEnd/>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52.95</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德国蔡司远东有限公司</w:t>
            </w:r>
            <w:r>
              <w:rPr>
                <w:rFonts w:asciiTheme="minorEastAsia" w:hAnsiTheme="minorEastAsia" w:eastAsiaTheme="minorEastAsia"/>
                <w:kern w:val="0"/>
                <w:sz w:val="20"/>
                <w:szCs w:val="21"/>
              </w:rPr>
              <w:t>Axio Scope A1</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无限远光学系统、光学部件采用金属镀膜防霉技术、观察放大率100X----1000X、机械结构和调焦系统、观察镜筒、物镜转换器、聚光镜、物镜、目镜、载物台、明场照明、光源管理系统、塑料DIC附件、荧光光源、荧光分色器、荧光滤色镜、配备1.0倍标准C型接口、彩色显微数码冷CCD  500万物理像素(2584 x1936)、系统分析软件。</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用于研究细胞内物质的吸收、运输、化学物质的分布及定位等。 细胞中有些物质，如叶绿素等，受紫外线照射后可发荧光;另有一些物质本身虽不能发荧光，但如果用荧光染料或荧光抗体染色后，经紫外线照射亦可发荧光，是对这类物质进行定性和定量研究的工具之一。</w:t>
            </w:r>
          </w:p>
        </w:tc>
        <w:tc>
          <w:tcPr>
            <w:tcW w:w="4845" w:type="dxa"/>
            <w:gridSpan w:val="2"/>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名称2</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非损伤微测系统</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53.4</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363"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北京旭月（北京）科技有限公司NMT150-I-XY</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非损伤微测系统”是在电脑自动控制下，利用特异性离子电极，在不接触被测样品的情况下获得进出样品的各种分子/离子的浓度、流速及其运动方向的信息。它不仅可以测得单个分子/离子的流速及pH值等参数，而且还可利用多电极同时采集多种分子/离子及其参数的活动信息。被测样品可以是单个细胞，也可以是组织或器官。测量不仅方便、快捷、多维和实时，而且对被测对象不产生任何损害。</w:t>
            </w:r>
          </w:p>
        </w:tc>
        <w:tc>
          <w:tcPr>
            <w:tcW w:w="4845" w:type="dxa"/>
            <w:gridSpan w:val="2"/>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1847850" cy="1476375"/>
                  <wp:effectExtent l="0" t="0" r="0" b="9525"/>
                  <wp:docPr id="25" name="图片 4" descr="C:\Users\Administrator\Desktop\非损伤微创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C:\Users\Administrator\Desktop\非损伤微创系统.JPG"/>
                          <pic:cNvPicPr>
                            <a:picLocks noChangeAspect="1" noChangeArrowheads="1"/>
                          </pic:cNvPicPr>
                        </pic:nvPicPr>
                        <pic:blipFill>
                          <a:blip r:embed="rId36" cstate="print"/>
                          <a:srcRect/>
                          <a:stretch>
                            <a:fillRect/>
                          </a:stretch>
                        </pic:blipFill>
                        <pic:spPr>
                          <a:xfrm>
                            <a:off x="0" y="0"/>
                            <a:ext cx="1849234" cy="1477481"/>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pStyle w:val="11"/>
              <w:spacing w:line="400" w:lineRule="atLeast"/>
              <w:ind w:firstLine="0" w:firstLineChars="0"/>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植物抗盐、抗逆等逆境研究、 蛋白功能研究、植物发育研究、光合呼吸作用研究、植物营养研究与检测、植物与微生物相互作用研究、 重金属污染与治理研究、植物发育调节机制研究"</w:t>
            </w:r>
          </w:p>
        </w:tc>
        <w:tc>
          <w:tcPr>
            <w:tcW w:w="4845" w:type="dxa"/>
            <w:gridSpan w:val="2"/>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397"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联系人</w:t>
            </w:r>
          </w:p>
        </w:tc>
        <w:tc>
          <w:tcPr>
            <w:tcW w:w="7940" w:type="dxa"/>
            <w:gridSpan w:val="3"/>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卢圣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397" w:hRule="atLeast"/>
        </w:trPr>
        <w:tc>
          <w:tcPr>
            <w:tcW w:w="1881" w:type="dxa"/>
            <w:vAlign w:val="center"/>
          </w:tcPr>
          <w:p>
            <w:pPr>
              <w:spacing w:line="220" w:lineRule="atLeast"/>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联系电话</w:t>
            </w:r>
          </w:p>
        </w:tc>
        <w:tc>
          <w:tcPr>
            <w:tcW w:w="7940" w:type="dxa"/>
            <w:gridSpan w:val="3"/>
            <w:vAlign w:val="center"/>
          </w:tcPr>
          <w:p>
            <w:pPr>
              <w:spacing w:line="22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13651150703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397" w:hRule="atLeast"/>
        </w:trPr>
        <w:tc>
          <w:tcPr>
            <w:tcW w:w="1881" w:type="dxa"/>
            <w:vAlign w:val="center"/>
          </w:tcPr>
          <w:p>
            <w:pPr>
              <w:spacing w:line="220" w:lineRule="atLeast"/>
              <w:rPr>
                <w:rFonts w:asciiTheme="minorEastAsia" w:hAnsiTheme="minorEastAsia" w:eastAsiaTheme="minorEastAsia"/>
                <w:b/>
                <w:kern w:val="0"/>
                <w:sz w:val="20"/>
                <w:szCs w:val="21"/>
                <w:highlight w:val="yellow"/>
              </w:rPr>
            </w:pPr>
            <w:r>
              <w:rPr>
                <w:rFonts w:hint="eastAsia" w:asciiTheme="minorEastAsia" w:hAnsiTheme="minorEastAsia" w:eastAsiaTheme="minorEastAsia"/>
                <w:b/>
                <w:kern w:val="0"/>
                <w:sz w:val="20"/>
                <w:szCs w:val="21"/>
              </w:rPr>
              <w:t>Email</w:t>
            </w:r>
          </w:p>
        </w:tc>
        <w:tc>
          <w:tcPr>
            <w:tcW w:w="7940" w:type="dxa"/>
            <w:gridSpan w:val="3"/>
            <w:vAlign w:val="center"/>
          </w:tcPr>
          <w:p>
            <w:pPr>
              <w:spacing w:line="220" w:lineRule="atLeast"/>
              <w:rPr>
                <w:rFonts w:asciiTheme="minorEastAsia" w:hAnsiTheme="minorEastAsia" w:eastAsiaTheme="minorEastAsia"/>
                <w:kern w:val="0"/>
                <w:sz w:val="20"/>
                <w:szCs w:val="21"/>
              </w:rPr>
            </w:pPr>
            <w:r>
              <w:rPr>
                <w:rFonts w:asciiTheme="minorEastAsia" w:hAnsiTheme="minorEastAsia" w:eastAsiaTheme="minorEastAsia"/>
                <w:kern w:val="0"/>
                <w:sz w:val="20"/>
                <w:szCs w:val="21"/>
              </w:rPr>
              <w:t>88774028@sina.com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160"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名称1</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透射电子显微镜</w:t>
            </w:r>
          </w:p>
        </w:tc>
        <w:tc>
          <w:tcPr>
            <w:tcW w:w="4826" w:type="dxa"/>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592070" cy="1724025"/>
                  <wp:effectExtent l="19050" t="0" r="0" b="0"/>
                  <wp:docPr id="198" name="图片 1" descr="E:\电镜\重点实验室仪器\首都科技平台2016\透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 descr="E:\电镜\重点实验室仪器\首都科技平台2016\透射.JPG"/>
                          <pic:cNvPicPr>
                            <a:picLocks noChangeAspect="1" noChangeArrowheads="1"/>
                          </pic:cNvPicPr>
                        </pic:nvPicPr>
                        <pic:blipFill>
                          <a:blip r:embed="rId7" cstate="print"/>
                          <a:srcRect/>
                          <a:stretch>
                            <a:fillRect/>
                          </a:stretch>
                        </pic:blipFill>
                        <pic:spPr>
                          <a:xfrm>
                            <a:off x="0" y="0"/>
                            <a:ext cx="2592706" cy="1724356"/>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160" w:type="dxa"/>
          <w:trHeight w:val="363" w:hRule="atLeast"/>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6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214</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4</w:t>
            </w:r>
          </w:p>
        </w:tc>
        <w:tc>
          <w:tcPr>
            <w:tcW w:w="4826"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160" w:type="dxa"/>
          <w:trHeight w:val="363" w:hRule="atLeast"/>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6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日本日立公司；</w:t>
            </w:r>
            <w:r>
              <w:rPr>
                <w:rFonts w:asciiTheme="minorEastAsia" w:hAnsiTheme="minorEastAsia" w:eastAsiaTheme="minorEastAsia"/>
                <w:kern w:val="0"/>
                <w:sz w:val="20"/>
                <w:szCs w:val="21"/>
              </w:rPr>
              <w:t>H-7650</w:t>
            </w:r>
          </w:p>
        </w:tc>
        <w:tc>
          <w:tcPr>
            <w:tcW w:w="4826"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3"/>
          <w:wAfter w:w="160"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分辨率：0.2nm (晶格像)；加速电压：40kV ~ 120kV；放大倍率：连续放大模式：x200~x600,000；数码相机型号：Gatan MODEL 832，4K x 2.7K 1100万像素光纤耦合。</w:t>
            </w:r>
          </w:p>
        </w:tc>
        <w:tc>
          <w:tcPr>
            <w:tcW w:w="4826" w:type="dxa"/>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广泛应用于生物样品局部切面的超微结构和非生物材料和纳米材料的内部微观结构观察，可观察生命科学领域动植物细胞、病毒、细菌和支原体中的超微结构；对抗原和抗体在超微结构进行精细检测和定位；对植物各种疾病病因进行诊断与研究；观察高分子、表面活性剂、碳纳米管及纳米粒子等形态结构。</w:t>
            </w:r>
          </w:p>
        </w:tc>
        <w:tc>
          <w:tcPr>
            <w:tcW w:w="4845" w:type="dxa"/>
            <w:gridSpan w:val="2"/>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良好</w:t>
            </w:r>
          </w:p>
        </w:tc>
        <w:tc>
          <w:tcPr>
            <w:tcW w:w="4845" w:type="dxa"/>
            <w:gridSpan w:val="2"/>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正常</w:t>
            </w:r>
          </w:p>
        </w:tc>
        <w:tc>
          <w:tcPr>
            <w:tcW w:w="4845" w:type="dxa"/>
            <w:gridSpan w:val="2"/>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名称2</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扫描电子显微镜</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461260" cy="1637665"/>
                  <wp:effectExtent l="0" t="0" r="15240" b="635"/>
                  <wp:docPr id="199" name="图片 2" descr="E:\电镜\重点实验室仪器\首都科技平台2016\显微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2" descr="E:\电镜\重点实验室仪器\首都科技平台2016\显微镜.JPG"/>
                          <pic:cNvPicPr>
                            <a:picLocks noChangeAspect="1" noChangeArrowheads="1"/>
                          </pic:cNvPicPr>
                        </pic:nvPicPr>
                        <pic:blipFill>
                          <a:blip r:embed="rId8" cstate="print"/>
                          <a:srcRect/>
                          <a:stretch>
                            <a:fillRect/>
                          </a:stretch>
                        </pic:blipFill>
                        <pic:spPr>
                          <a:xfrm>
                            <a:off x="0" y="0"/>
                            <a:ext cx="2466725" cy="1641274"/>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88</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86</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捷克</w:t>
            </w:r>
            <w:r>
              <w:rPr>
                <w:rFonts w:asciiTheme="minorEastAsia" w:hAnsiTheme="minorEastAsia" w:eastAsiaTheme="minorEastAsia"/>
                <w:kern w:val="0"/>
                <w:sz w:val="20"/>
                <w:szCs w:val="21"/>
              </w:rPr>
              <w:t>TESCAN</w:t>
            </w:r>
            <w:r>
              <w:rPr>
                <w:rFonts w:hint="eastAsia" w:asciiTheme="minorEastAsia" w:hAnsiTheme="minorEastAsia" w:eastAsiaTheme="minorEastAsia"/>
                <w:kern w:val="0"/>
                <w:sz w:val="20"/>
                <w:szCs w:val="21"/>
              </w:rPr>
              <w:t>公司；</w:t>
            </w:r>
            <w:r>
              <w:rPr>
                <w:rFonts w:asciiTheme="minorEastAsia" w:hAnsiTheme="minorEastAsia" w:eastAsiaTheme="minorEastAsia"/>
                <w:kern w:val="0"/>
                <w:sz w:val="20"/>
                <w:szCs w:val="21"/>
              </w:rPr>
              <w:t>5136 SB</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放大倍数：4~500,000 ×，二次电子像分辨率：3.5nm，背反射电子像分辨率：4nm ，配有低真空模式LVSTD检测器，可方便快捷地进行高真空扫描电镜模式与低真空扫描电镜模式之间转化，在高真空模式中开展对非导电性样品观察和元素分析，在低真空模式中进行含水和多孔样品观察和研究，得到真实高分辨率二次电子图像。</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该电镜广泛应用于生物和物理材料表征特性观察，逐点扫描，获得三维立体图像，观察视野大，景深长，富有立体感。</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良好</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正常</w:t>
            </w:r>
          </w:p>
        </w:tc>
        <w:tc>
          <w:tcPr>
            <w:tcW w:w="4845" w:type="dxa"/>
            <w:gridSpan w:val="2"/>
            <w:vMerge w:val="continue"/>
            <w:tcBorders/>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名称3</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等温滴定微量热仪</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614295" cy="1991360"/>
                  <wp:effectExtent l="0" t="0" r="14605" b="8890"/>
                  <wp:docPr id="200" name="图片 0" descr="等温滴定微量热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0" descr="等温滴定微量热仪.JPG"/>
                          <pic:cNvPicPr>
                            <a:picLocks noChangeAspect="1"/>
                          </pic:cNvPicPr>
                        </pic:nvPicPr>
                        <pic:blipFill>
                          <a:blip r:embed="rId9" cstate="print"/>
                          <a:stretch>
                            <a:fillRect/>
                          </a:stretch>
                        </pic:blipFill>
                        <pic:spPr>
                          <a:xfrm>
                            <a:off x="0" y="0"/>
                            <a:ext cx="2614295" cy="19913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26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109.68</w:t>
            </w:r>
          </w:p>
        </w:tc>
        <w:tc>
          <w:tcPr>
            <w:tcW w:w="4845" w:type="dxa"/>
            <w:gridSpan w:val="2"/>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6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iTC200</w:t>
            </w:r>
          </w:p>
        </w:tc>
        <w:tc>
          <w:tcPr>
            <w:tcW w:w="4845" w:type="dxa"/>
            <w:gridSpan w:val="2"/>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本仪器最小可检测热功率2 nW，最小可检测热效应0.125uJ，生物样品最小用量0.4ug，温度范围2 oC - 80 oC，滴定池体积1.43 ml)。</w:t>
            </w:r>
          </w:p>
        </w:tc>
        <w:tc>
          <w:tcPr>
            <w:tcW w:w="4845" w:type="dxa"/>
            <w:gridSpan w:val="2"/>
            <w:vMerge w:val="continue"/>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能够获得生物分子相互作用的完整热力学参数，包括结合常数、结合位点数、摩尔结合焓、摩尔结合熵、摩尔恒压热容，和动力学参数</w:t>
            </w:r>
          </w:p>
        </w:tc>
        <w:tc>
          <w:tcPr>
            <w:tcW w:w="4845" w:type="dxa"/>
            <w:gridSpan w:val="2"/>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对被研究体系没有任何限制条件，样品用量小，方法灵敏度和精确度高</w:t>
            </w:r>
          </w:p>
        </w:tc>
        <w:tc>
          <w:tcPr>
            <w:tcW w:w="4845" w:type="dxa"/>
            <w:gridSpan w:val="2"/>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正常运行</w:t>
            </w:r>
          </w:p>
        </w:tc>
        <w:tc>
          <w:tcPr>
            <w:tcW w:w="4845" w:type="dxa"/>
            <w:gridSpan w:val="2"/>
          </w:tcPr>
          <w:p>
            <w:pPr>
              <w:spacing w:line="220" w:lineRule="atLeast"/>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激光共聚焦显微镜</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788285" cy="2008505"/>
                  <wp:effectExtent l="0" t="0" r="12065" b="10795"/>
                  <wp:docPr id="201" name="图片 1" descr="激光共聚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 descr="激光共聚焦.jpg"/>
                          <pic:cNvPicPr>
                            <a:picLocks noChangeAspect="1"/>
                          </pic:cNvPicPr>
                        </pic:nvPicPr>
                        <pic:blipFill>
                          <a:blip r:embed="rId10" cstate="print"/>
                          <a:stretch>
                            <a:fillRect/>
                          </a:stretch>
                        </pic:blipFill>
                        <pic:spPr>
                          <a:xfrm>
                            <a:off x="0" y="0"/>
                            <a:ext cx="2788285" cy="20085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203</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*_TCS SP5型</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1.配备10×，20×，40×，63×高数值孔径物镜。2.覆盖可见光波长范围的激光器，各激光器单独分立。</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实现宽均场视野、多通道和高灵敏度检测及生物成像，能够直接升级到超高分辨率的共聚焦。</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最高图像分辨率不小于4096*4096；高分辨率扫描速度最高位不小于1800Hz；扫描幅速大于3.5fps（512 x512）</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宋体" w:hAnsi="宋体"/>
                <w:kern w:val="0"/>
                <w:sz w:val="20"/>
                <w:szCs w:val="21"/>
              </w:rPr>
              <w:t>运行正常</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气质联用仪</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795270" cy="2096770"/>
                  <wp:effectExtent l="0" t="0" r="5080" b="17780"/>
                  <wp:docPr id="202" name="图片 8" descr="C:\Users\lenovo\AppData\Local\Temp\WeChat Files\549337171230815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8" descr="C:\Users\lenovo\AppData\Local\Temp\WeChat Files\549337171230815726.jpg"/>
                          <pic:cNvPicPr>
                            <a:picLocks noChangeAspect="1" noChangeArrowheads="1"/>
                          </pic:cNvPicPr>
                        </pic:nvPicPr>
                        <pic:blipFill>
                          <a:blip r:embed="rId11" cstate="print"/>
                          <a:srcRect/>
                          <a:stretch>
                            <a:fillRect/>
                          </a:stretch>
                        </pic:blipFill>
                        <pic:spPr>
                          <a:xfrm>
                            <a:off x="0" y="0"/>
                            <a:ext cx="2795270" cy="209677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88</w:t>
            </w:r>
            <w:r>
              <w:rPr>
                <w:rFonts w:hint="eastAsia" w:asciiTheme="minorEastAsia" w:hAnsiTheme="minorEastAsia" w:eastAsiaTheme="minorEastAsia"/>
                <w:kern w:val="0"/>
                <w:sz w:val="20"/>
                <w:szCs w:val="21"/>
              </w:rPr>
              <w:t>.</w:t>
            </w:r>
            <w:r>
              <w:rPr>
                <w:rFonts w:asciiTheme="minorEastAsia" w:hAnsiTheme="minorEastAsia" w:eastAsiaTheme="minorEastAsia"/>
                <w:kern w:val="0"/>
                <w:sz w:val="20"/>
                <w:szCs w:val="21"/>
              </w:rPr>
              <w:t>9</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AGILENT 5973N</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质量数范围：1.6-1050amu，以0.1amu递增</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用于在300℃时可挥发的有机物或经衍生后可挥发的有机物的定性、定量分析。例如：饱和烃、多环芳烃、有机酸、醇、醛、酯、酮、脂酯肪酸、挥发脂肪酸酯、芳香化合物（苯、甲苯、二甲苯）、香精、香料、农药、生物碱、衍生糖、类固醇等</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良好</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正常运行</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液质联用仪</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drawing>
                <wp:inline distT="0" distB="0" distL="0" distR="0">
                  <wp:extent cx="2718435" cy="3625215"/>
                  <wp:effectExtent l="0" t="0" r="5715" b="13335"/>
                  <wp:docPr id="203" name="图片 7" descr="C:\Users\lenovo\Desktop\20161213首都科技条件平台信息系统填报\植科学院仪器照片\18.液质联用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7" descr="C:\Users\lenovo\Desktop\20161213首都科技条件平台信息系统填报\植科学院仪器照片\18.液质联用仪.jpg"/>
                          <pic:cNvPicPr>
                            <a:picLocks noChangeAspect="1" noChangeArrowheads="1"/>
                          </pic:cNvPicPr>
                        </pic:nvPicPr>
                        <pic:blipFill>
                          <a:blip r:embed="rId12" cstate="print"/>
                          <a:srcRect/>
                          <a:stretch>
                            <a:fillRect/>
                          </a:stretch>
                        </pic:blipFill>
                        <pic:spPr>
                          <a:xfrm>
                            <a:off x="0" y="0"/>
                            <a:ext cx="2718435" cy="362521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99.56</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Watersuplc/SQD</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asciiTheme="minorEastAsia" w:hAnsiTheme="minorEastAsia" w:eastAsiaTheme="minorEastAsia"/>
                <w:kern w:val="0"/>
                <w:sz w:val="20"/>
                <w:szCs w:val="21"/>
              </w:rPr>
              <w:t>uplc/SQD</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主要应用于药物代谢及药物动力学研究、临床药理学研究、天然药物（中草药等）开发研究、新生儿筛选、蛋白与肽类的鉴定、残留分析、毒物分析、环境分析－公安、环保、食品、自来水、卫生防疫等行业。液质联用仪的灵敏度高，通量性能好——优异的高流量性能、降低的离子抑制效应、自清洁离子源探针设计和可靠的接口设计，加速了分析速度；使用更简便。</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良好</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正常运行</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jc w:val="center"/>
              <w:rPr>
                <w:rFonts w:ascii="宋体" w:hAnsi="宋体"/>
                <w:kern w:val="0"/>
                <w:sz w:val="20"/>
                <w:szCs w:val="21"/>
              </w:rPr>
            </w:pPr>
            <w:r>
              <w:rPr>
                <w:rFonts w:hint="eastAsia" w:asciiTheme="minorEastAsia" w:hAnsiTheme="minorEastAsia" w:eastAsiaTheme="minorEastAsia"/>
                <w:kern w:val="0"/>
                <w:sz w:val="20"/>
                <w:szCs w:val="21"/>
              </w:rPr>
              <w:t>电感耦合等离子发射光谱仪</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r>
              <w:rPr>
                <w:rFonts w:ascii="宋体" w:hAnsi="宋体"/>
                <w:kern w:val="0"/>
                <w:sz w:val="20"/>
                <w:szCs w:val="21"/>
              </w:rPr>
              <w:drawing>
                <wp:inline distT="0" distB="0" distL="0" distR="0">
                  <wp:extent cx="2538730" cy="3374390"/>
                  <wp:effectExtent l="0" t="0" r="13970" b="1651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
                          <pic:cNvPicPr>
                            <a:picLocks noChangeAspect="1" noChangeArrowheads="1"/>
                          </pic:cNvPicPr>
                        </pic:nvPicPr>
                        <pic:blipFill>
                          <a:blip r:embed="rId13" cstate="print"/>
                          <a:srcRect/>
                          <a:stretch>
                            <a:fillRect/>
                          </a:stretch>
                        </pic:blipFill>
                        <pic:spPr>
                          <a:xfrm>
                            <a:off x="0" y="0"/>
                            <a:ext cx="2538730" cy="337439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ind w:firstLine="800" w:firstLineChars="400"/>
              <w:rPr>
                <w:rFonts w:ascii="宋体" w:cs="宋体"/>
                <w:color w:val="000000"/>
                <w:kern w:val="0"/>
                <w:sz w:val="20"/>
              </w:rPr>
            </w:pPr>
            <w:r>
              <w:rPr>
                <w:rFonts w:ascii="宋体" w:hAnsi="宋体"/>
                <w:kern w:val="0"/>
                <w:sz w:val="20"/>
                <w:szCs w:val="21"/>
              </w:rPr>
              <w:t>94.94</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260" w:lineRule="atLeast"/>
              <w:jc w:val="center"/>
              <w:rPr>
                <w:rFonts w:ascii="宋体" w:hAnsi="宋体"/>
                <w:kern w:val="0"/>
                <w:sz w:val="20"/>
                <w:szCs w:val="21"/>
              </w:rPr>
            </w:pPr>
            <w:r>
              <w:rPr>
                <w:rFonts w:ascii="宋体" w:hAnsi="宋体"/>
                <w:kern w:val="0"/>
                <w:sz w:val="20"/>
                <w:szCs w:val="21"/>
              </w:rPr>
              <w:t>Thermo Fisher Scientific</w:t>
            </w:r>
          </w:p>
          <w:p>
            <w:pPr>
              <w:spacing w:line="260" w:lineRule="atLeast"/>
              <w:jc w:val="center"/>
              <w:rPr>
                <w:rFonts w:ascii="宋体" w:hAnsi="宋体"/>
                <w:kern w:val="0"/>
                <w:sz w:val="20"/>
                <w:szCs w:val="21"/>
              </w:rPr>
            </w:pPr>
            <w:r>
              <w:rPr>
                <w:rFonts w:ascii="宋体" w:hAnsi="宋体"/>
                <w:kern w:val="0"/>
                <w:sz w:val="20"/>
                <w:szCs w:val="21"/>
              </w:rPr>
              <w:t>*_iCAP6000</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jc w:val="center"/>
              <w:rPr>
                <w:rFonts w:ascii="宋体" w:hAnsi="宋体"/>
                <w:kern w:val="0"/>
                <w:sz w:val="20"/>
                <w:szCs w:val="21"/>
              </w:rPr>
            </w:pPr>
            <w:r>
              <w:rPr>
                <w:rFonts w:hint="eastAsia" w:ascii="宋体" w:hAnsi="宋体"/>
                <w:kern w:val="0"/>
                <w:sz w:val="20"/>
                <w:szCs w:val="21"/>
              </w:rPr>
              <w:t>线性范围宽，</w:t>
            </w:r>
            <w:r>
              <w:rPr>
                <w:rFonts w:ascii="宋体" w:hAnsi="宋体"/>
                <w:kern w:val="0"/>
                <w:sz w:val="20"/>
                <w:szCs w:val="21"/>
              </w:rPr>
              <w:t>3-5</w:t>
            </w:r>
            <w:r>
              <w:rPr>
                <w:rFonts w:hint="eastAsia" w:ascii="宋体" w:hAnsi="宋体"/>
                <w:kern w:val="0"/>
                <w:sz w:val="20"/>
                <w:szCs w:val="21"/>
              </w:rPr>
              <w:t>个数量级。全谱直读能在短短的</w:t>
            </w:r>
            <w:r>
              <w:rPr>
                <w:rFonts w:ascii="宋体" w:hAnsi="宋体"/>
                <w:kern w:val="0"/>
                <w:sz w:val="20"/>
                <w:szCs w:val="21"/>
              </w:rPr>
              <w:t>30s</w:t>
            </w:r>
            <w:r>
              <w:rPr>
                <w:rFonts w:hint="eastAsia" w:ascii="宋体" w:hAnsi="宋体"/>
                <w:kern w:val="0"/>
                <w:sz w:val="20"/>
                <w:szCs w:val="21"/>
              </w:rPr>
              <w:t>时间内完成一次多元素分析。</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jc w:val="center"/>
              <w:rPr>
                <w:rFonts w:ascii="宋体" w:hAnsi="宋体"/>
                <w:kern w:val="0"/>
                <w:sz w:val="20"/>
                <w:szCs w:val="21"/>
              </w:rPr>
            </w:pPr>
            <w:r>
              <w:rPr>
                <w:rFonts w:hint="eastAsia" w:ascii="宋体" w:hAnsi="宋体"/>
                <w:kern w:val="0"/>
                <w:sz w:val="20"/>
                <w:szCs w:val="21"/>
              </w:rPr>
              <w:t>广泛应用于冶金、地质、采矿、石油、轻工、农业、医药、卫生、食品及环境监测等方面的常量及微痕量元素，特别是矿质元素分析。</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jc w:val="center"/>
              <w:rPr>
                <w:rFonts w:ascii="宋体" w:hAnsi="宋体"/>
                <w:kern w:val="0"/>
                <w:sz w:val="20"/>
                <w:szCs w:val="21"/>
              </w:rPr>
            </w:pPr>
            <w:r>
              <w:rPr>
                <w:rFonts w:hint="eastAsia" w:ascii="宋体" w:hAnsi="宋体"/>
                <w:kern w:val="0"/>
                <w:sz w:val="20"/>
                <w:szCs w:val="21"/>
              </w:rPr>
              <w:t>进样几毫升，同时或顺序多元素测定，操作简便。</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宋体" w:hAnsi="宋体"/>
                <w:kern w:val="0"/>
                <w:sz w:val="20"/>
                <w:szCs w:val="21"/>
              </w:rPr>
            </w:pPr>
            <w:r>
              <w:rPr>
                <w:rFonts w:hint="eastAsia" w:ascii="宋体" w:hAnsi="宋体"/>
                <w:kern w:val="0"/>
                <w:sz w:val="20"/>
                <w:szCs w:val="21"/>
              </w:rPr>
              <w:t>运行正常</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名称</w:t>
            </w:r>
          </w:p>
        </w:tc>
        <w:tc>
          <w:tcPr>
            <w:tcW w:w="3095" w:type="dxa"/>
            <w:vAlign w:val="center"/>
          </w:tcPr>
          <w:p>
            <w:pPr>
              <w:spacing w:line="400" w:lineRule="atLeast"/>
              <w:jc w:val="center"/>
              <w:rPr>
                <w:rFonts w:ascii="宋体" w:hAnsi="宋体"/>
                <w:kern w:val="0"/>
                <w:sz w:val="20"/>
                <w:szCs w:val="21"/>
              </w:rPr>
            </w:pPr>
            <w:r>
              <w:rPr>
                <w:rFonts w:hint="eastAsia" w:ascii="宋体" w:hAnsi="宋体"/>
                <w:kern w:val="0"/>
                <w:sz w:val="20"/>
                <w:szCs w:val="21"/>
              </w:rPr>
              <w:t>原子吸收分光光度计</w:t>
            </w:r>
          </w:p>
        </w:tc>
        <w:tc>
          <w:tcPr>
            <w:tcW w:w="4845" w:type="dxa"/>
            <w:gridSpan w:val="2"/>
            <w:vMerge w:val="restart"/>
            <w:vAlign w:val="center"/>
          </w:tcPr>
          <w:p>
            <w:pPr>
              <w:spacing w:line="220" w:lineRule="atLeast"/>
              <w:jc w:val="center"/>
              <w:rPr>
                <w:rFonts w:asciiTheme="minorEastAsia" w:hAnsiTheme="minorEastAsia" w:eastAsiaTheme="minorEastAsia"/>
                <w:kern w:val="0"/>
                <w:sz w:val="20"/>
                <w:szCs w:val="21"/>
              </w:rPr>
            </w:pPr>
          </w:p>
          <w:p>
            <w:pPr>
              <w:spacing w:line="220" w:lineRule="atLeast"/>
              <w:jc w:val="center"/>
              <w:rPr>
                <w:rFonts w:asciiTheme="minorEastAsia" w:hAnsiTheme="minorEastAsia" w:eastAsiaTheme="minorEastAsia"/>
                <w:kern w:val="0"/>
                <w:sz w:val="20"/>
                <w:szCs w:val="21"/>
              </w:rPr>
            </w:pPr>
            <w:r>
              <w:rPr>
                <w:rFonts w:ascii="宋体" w:hAnsi="宋体"/>
                <w:kern w:val="0"/>
                <w:sz w:val="20"/>
                <w:szCs w:val="21"/>
              </w:rPr>
              <w:drawing>
                <wp:inline distT="0" distB="0" distL="0" distR="0">
                  <wp:extent cx="2423160" cy="2038350"/>
                  <wp:effectExtent l="19050" t="0" r="0" b="0"/>
                  <wp:docPr id="2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
                          <pic:cNvPicPr>
                            <a:picLocks noChangeAspect="1" noChangeArrowheads="1"/>
                          </pic:cNvPicPr>
                        </pic:nvPicPr>
                        <pic:blipFill>
                          <a:blip r:embed="rId14" cstate="print"/>
                          <a:srcRect/>
                          <a:stretch>
                            <a:fillRect/>
                          </a:stretch>
                        </pic:blipFill>
                        <pic:spPr>
                          <a:xfrm>
                            <a:off x="0" y="0"/>
                            <a:ext cx="2423710" cy="203835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原值（万元）</w:t>
            </w:r>
          </w:p>
        </w:tc>
        <w:tc>
          <w:tcPr>
            <w:tcW w:w="3095" w:type="dxa"/>
            <w:vAlign w:val="center"/>
          </w:tcPr>
          <w:p>
            <w:pPr>
              <w:spacing w:line="400" w:lineRule="atLeast"/>
              <w:jc w:val="center"/>
              <w:rPr>
                <w:rFonts w:ascii="宋体" w:hAnsi="宋体"/>
                <w:kern w:val="0"/>
                <w:sz w:val="20"/>
                <w:szCs w:val="21"/>
              </w:rPr>
            </w:pPr>
            <w:r>
              <w:rPr>
                <w:rFonts w:ascii="宋体" w:hAnsi="宋体"/>
                <w:kern w:val="0"/>
                <w:sz w:val="20"/>
                <w:szCs w:val="21"/>
              </w:rPr>
              <w:t>41.9</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厂商及型号</w:t>
            </w:r>
          </w:p>
        </w:tc>
        <w:tc>
          <w:tcPr>
            <w:tcW w:w="3095" w:type="dxa"/>
            <w:vAlign w:val="center"/>
          </w:tcPr>
          <w:p>
            <w:pPr>
              <w:spacing w:line="400" w:lineRule="atLeast"/>
              <w:jc w:val="center"/>
              <w:rPr>
                <w:rFonts w:ascii="宋体" w:hAnsi="宋体"/>
                <w:kern w:val="0"/>
                <w:sz w:val="20"/>
                <w:szCs w:val="21"/>
              </w:rPr>
            </w:pPr>
            <w:r>
              <w:rPr>
                <w:rFonts w:hint="eastAsia" w:ascii="宋体" w:hAnsi="宋体"/>
                <w:kern w:val="0"/>
                <w:sz w:val="20"/>
                <w:szCs w:val="21"/>
              </w:rPr>
              <w:t>日立公司</w:t>
            </w:r>
          </w:p>
          <w:p>
            <w:pPr>
              <w:spacing w:line="400" w:lineRule="atLeast"/>
              <w:jc w:val="center"/>
              <w:rPr>
                <w:rFonts w:ascii="宋体" w:hAnsi="宋体"/>
                <w:kern w:val="0"/>
                <w:sz w:val="20"/>
                <w:szCs w:val="21"/>
              </w:rPr>
            </w:pPr>
            <w:r>
              <w:rPr>
                <w:rFonts w:hint="eastAsia" w:ascii="宋体" w:hAnsi="宋体"/>
                <w:kern w:val="0"/>
                <w:sz w:val="20"/>
                <w:szCs w:val="21"/>
              </w:rPr>
              <w:t>火焰</w:t>
            </w:r>
            <w:r>
              <w:rPr>
                <w:rFonts w:ascii="宋体" w:hAnsi="宋体"/>
                <w:kern w:val="0"/>
                <w:sz w:val="20"/>
                <w:szCs w:val="21"/>
              </w:rPr>
              <w:t>/</w:t>
            </w:r>
            <w:r>
              <w:rPr>
                <w:rFonts w:hint="eastAsia" w:ascii="宋体" w:hAnsi="宋体"/>
                <w:kern w:val="0"/>
                <w:sz w:val="20"/>
                <w:szCs w:val="21"/>
              </w:rPr>
              <w:t>石墨炉</w:t>
            </w:r>
            <w:r>
              <w:rPr>
                <w:rFonts w:ascii="宋体" w:hAnsi="宋体"/>
                <w:kern w:val="0"/>
                <w:sz w:val="20"/>
                <w:szCs w:val="21"/>
              </w:rPr>
              <w:t>_Z-5000</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主要性能参数</w:t>
            </w:r>
          </w:p>
        </w:tc>
        <w:tc>
          <w:tcPr>
            <w:tcW w:w="3095" w:type="dxa"/>
            <w:vAlign w:val="center"/>
          </w:tcPr>
          <w:p>
            <w:pPr>
              <w:spacing w:line="400" w:lineRule="atLeast"/>
              <w:rPr>
                <w:rFonts w:ascii="宋体" w:hAnsi="宋体"/>
                <w:kern w:val="0"/>
                <w:sz w:val="20"/>
                <w:szCs w:val="21"/>
              </w:rPr>
            </w:pPr>
            <w:r>
              <w:rPr>
                <w:rFonts w:hint="eastAsia" w:asciiTheme="minorEastAsia" w:hAnsiTheme="minorEastAsia" w:eastAsiaTheme="minorEastAsia"/>
                <w:kern w:val="0"/>
                <w:sz w:val="20"/>
                <w:szCs w:val="21"/>
              </w:rPr>
              <w:t>偏振塞曼扣背景，内装</w:t>
            </w:r>
            <w:r>
              <w:rPr>
                <w:rFonts w:asciiTheme="minorEastAsia" w:hAnsiTheme="minorEastAsia" w:eastAsiaTheme="minorEastAsia"/>
                <w:kern w:val="0"/>
                <w:sz w:val="20"/>
                <w:szCs w:val="21"/>
              </w:rPr>
              <w:t>8</w:t>
            </w:r>
            <w:r>
              <w:rPr>
                <w:rFonts w:hint="eastAsia" w:asciiTheme="minorEastAsia" w:hAnsiTheme="minorEastAsia" w:eastAsiaTheme="minorEastAsia"/>
                <w:kern w:val="0"/>
                <w:sz w:val="20"/>
                <w:szCs w:val="21"/>
              </w:rPr>
              <w:t>个元素灯，自动调节灯位置，测定方法一次可设定</w:t>
            </w:r>
            <w:r>
              <w:rPr>
                <w:rFonts w:asciiTheme="minorEastAsia" w:hAnsiTheme="minorEastAsia" w:eastAsiaTheme="minorEastAsia"/>
                <w:kern w:val="0"/>
                <w:sz w:val="20"/>
                <w:szCs w:val="21"/>
              </w:rPr>
              <w:t>12</w:t>
            </w:r>
            <w:r>
              <w:rPr>
                <w:rFonts w:hint="eastAsia" w:asciiTheme="minorEastAsia" w:hAnsiTheme="minorEastAsia" w:eastAsiaTheme="minorEastAsia"/>
                <w:kern w:val="0"/>
                <w:sz w:val="20"/>
                <w:szCs w:val="21"/>
              </w:rPr>
              <w:t>个元素的分析条件，石墨炉自动进样。</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功能用途</w:t>
            </w:r>
          </w:p>
        </w:tc>
        <w:tc>
          <w:tcPr>
            <w:tcW w:w="3095" w:type="dxa"/>
            <w:vAlign w:val="center"/>
          </w:tcPr>
          <w:p>
            <w:pPr>
              <w:spacing w:line="400" w:lineRule="atLeast"/>
              <w:rPr>
                <w:rFonts w:ascii="宋体" w:hAnsi="宋体"/>
                <w:kern w:val="0"/>
                <w:sz w:val="20"/>
                <w:szCs w:val="21"/>
              </w:rPr>
            </w:pPr>
            <w:r>
              <w:rPr>
                <w:rFonts w:hint="eastAsia" w:asciiTheme="minorEastAsia" w:hAnsiTheme="minorEastAsia" w:eastAsiaTheme="minorEastAsia"/>
                <w:kern w:val="0"/>
                <w:sz w:val="20"/>
                <w:szCs w:val="21"/>
              </w:rPr>
              <w:t>用于冶金、地质、采矿、石油、轻工、农业、医药、卫生、食品及环境监测等方面的常量及微痕量元素。</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效果</w:t>
            </w:r>
          </w:p>
        </w:tc>
        <w:tc>
          <w:tcPr>
            <w:tcW w:w="3095" w:type="dxa"/>
            <w:vAlign w:val="center"/>
          </w:tcPr>
          <w:p>
            <w:pPr>
              <w:spacing w:line="400" w:lineRule="atLeast"/>
              <w:jc w:val="center"/>
              <w:rPr>
                <w:rFonts w:ascii="宋体" w:hAnsi="宋体"/>
                <w:kern w:val="0"/>
                <w:sz w:val="20"/>
                <w:szCs w:val="21"/>
              </w:rPr>
            </w:pPr>
            <w:r>
              <w:rPr>
                <w:rFonts w:hint="eastAsia" w:asciiTheme="minorEastAsia" w:hAnsiTheme="minorEastAsia" w:eastAsiaTheme="minorEastAsia"/>
                <w:kern w:val="0"/>
                <w:sz w:val="20"/>
                <w:szCs w:val="21"/>
              </w:rPr>
              <w:t>顺序多元素测定，可以检测痕量样品</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状态</w:t>
            </w:r>
          </w:p>
        </w:tc>
        <w:tc>
          <w:tcPr>
            <w:tcW w:w="3095" w:type="dxa"/>
            <w:vAlign w:val="center"/>
          </w:tcPr>
          <w:p>
            <w:pPr>
              <w:spacing w:line="400" w:lineRule="atLeast"/>
              <w:jc w:val="center"/>
              <w:rPr>
                <w:rFonts w:ascii="宋体" w:hAnsi="宋体"/>
                <w:kern w:val="0"/>
                <w:sz w:val="20"/>
                <w:szCs w:val="21"/>
              </w:rPr>
            </w:pPr>
            <w:r>
              <w:rPr>
                <w:rFonts w:hint="eastAsia" w:ascii="宋体" w:hAnsi="宋体"/>
                <w:kern w:val="0"/>
                <w:sz w:val="20"/>
                <w:szCs w:val="21"/>
              </w:rPr>
              <w:t>运行正常</w:t>
            </w:r>
          </w:p>
        </w:tc>
        <w:tc>
          <w:tcPr>
            <w:tcW w:w="4845" w:type="dxa"/>
            <w:gridSpan w:val="2"/>
            <w:vMerge w:val="continue"/>
            <w:vAlign w:val="center"/>
          </w:tcPr>
          <w:p>
            <w:pPr>
              <w:spacing w:line="220" w:lineRule="atLeast"/>
              <w:jc w:val="center"/>
              <w:rPr>
                <w:rFonts w:asciiTheme="minorEastAsia" w:hAnsiTheme="minorEastAsia" w:eastAsiaTheme="minorEastAsia"/>
                <w:kern w:val="0"/>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618" w:hRule="atLeast"/>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联系人</w:t>
            </w:r>
          </w:p>
        </w:tc>
        <w:tc>
          <w:tcPr>
            <w:tcW w:w="7940" w:type="dxa"/>
            <w:gridSpan w:val="3"/>
            <w:vAlign w:val="center"/>
          </w:tcPr>
          <w:p>
            <w:pPr>
              <w:spacing w:line="220" w:lineRule="atLeast"/>
              <w:jc w:val="lef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尚巧霞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554" w:hRule="atLeast"/>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联系电话</w:t>
            </w:r>
          </w:p>
        </w:tc>
        <w:tc>
          <w:tcPr>
            <w:tcW w:w="7940" w:type="dxa"/>
            <w:gridSpan w:val="3"/>
            <w:vAlign w:val="center"/>
          </w:tcPr>
          <w:p>
            <w:pPr>
              <w:spacing w:line="220" w:lineRule="atLeast"/>
              <w:jc w:val="left"/>
              <w:rPr>
                <w:rFonts w:asciiTheme="minorEastAsia" w:hAnsiTheme="minorEastAsia" w:eastAsiaTheme="minorEastAsia"/>
                <w:kern w:val="0"/>
                <w:sz w:val="20"/>
                <w:szCs w:val="21"/>
              </w:rPr>
            </w:pPr>
            <w:r>
              <w:rPr>
                <w:rFonts w:hint="eastAsia" w:asciiTheme="minorEastAsia" w:hAnsiTheme="minorEastAsia" w:eastAsiaTheme="minorEastAsia"/>
                <w:kern w:val="0"/>
                <w:sz w:val="20"/>
                <w:szCs w:val="21"/>
              </w:rPr>
              <w:t>13520343168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2"/>
          <w:wAfter w:w="141" w:type="dxa"/>
          <w:trHeight w:val="548" w:hRule="atLeast"/>
        </w:trPr>
        <w:tc>
          <w:tcPr>
            <w:tcW w:w="1881" w:type="dxa"/>
            <w:vAlign w:val="center"/>
          </w:tcPr>
          <w:p>
            <w:pPr>
              <w:spacing w:line="220" w:lineRule="atLeast"/>
              <w:jc w:val="center"/>
              <w:rPr>
                <w:rFonts w:asciiTheme="minorEastAsia" w:hAnsiTheme="minorEastAsia" w:eastAsiaTheme="minorEastAsia"/>
                <w:b/>
                <w:kern w:val="0"/>
                <w:sz w:val="20"/>
                <w:szCs w:val="21"/>
              </w:rPr>
            </w:pPr>
            <w:r>
              <w:rPr>
                <w:rFonts w:hint="eastAsia" w:asciiTheme="minorEastAsia" w:hAnsiTheme="minorEastAsia" w:eastAsiaTheme="minorEastAsia"/>
                <w:b/>
                <w:kern w:val="0"/>
                <w:sz w:val="20"/>
                <w:szCs w:val="21"/>
              </w:rPr>
              <w:t>Email</w:t>
            </w:r>
          </w:p>
        </w:tc>
        <w:tc>
          <w:tcPr>
            <w:tcW w:w="7940" w:type="dxa"/>
            <w:gridSpan w:val="3"/>
            <w:vAlign w:val="center"/>
          </w:tcPr>
          <w:p>
            <w:pPr>
              <w:spacing w:line="220" w:lineRule="atLeast"/>
              <w:jc w:val="center"/>
              <w:rPr>
                <w:rFonts w:asciiTheme="minorEastAsia" w:hAnsiTheme="minorEastAsia" w:eastAsiaTheme="minorEastAsia"/>
                <w:kern w:val="0"/>
                <w:sz w:val="20"/>
                <w:szCs w:val="21"/>
              </w:rPr>
            </w:pPr>
          </w:p>
        </w:tc>
      </w:tr>
    </w:tbl>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D1B"/>
    <w:rsid w:val="0007695E"/>
    <w:rsid w:val="00087D1B"/>
    <w:rsid w:val="004622A1"/>
    <w:rsid w:val="00476B87"/>
    <w:rsid w:val="00AD5B83"/>
    <w:rsid w:val="4EFA3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0"/>
    <w:semiHidden/>
    <w:unhideWhenUsed/>
    <w:uiPriority w:val="99"/>
    <w:rPr>
      <w:sz w:val="18"/>
      <w:szCs w:val="18"/>
    </w:rPr>
  </w:style>
  <w:style w:type="paragraph" w:styleId="3">
    <w:name w:val="footer"/>
    <w:basedOn w:val="1"/>
    <w:link w:val="9"/>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table" w:styleId="7">
    <w:name w:val="Table Grid"/>
    <w:basedOn w:val="6"/>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8">
    <w:name w:val="页眉 Char"/>
    <w:basedOn w:val="5"/>
    <w:link w:val="4"/>
    <w:qFormat/>
    <w:uiPriority w:val="99"/>
    <w:rPr>
      <w:sz w:val="18"/>
      <w:szCs w:val="18"/>
    </w:rPr>
  </w:style>
  <w:style w:type="character" w:customStyle="1" w:styleId="9">
    <w:name w:val="页脚 Char"/>
    <w:basedOn w:val="5"/>
    <w:link w:val="3"/>
    <w:qFormat/>
    <w:uiPriority w:val="99"/>
    <w:rPr>
      <w:sz w:val="18"/>
      <w:szCs w:val="18"/>
    </w:rPr>
  </w:style>
  <w:style w:type="character" w:customStyle="1" w:styleId="10">
    <w:name w:val="批注框文本 Char"/>
    <w:basedOn w:val="5"/>
    <w:link w:val="2"/>
    <w:semiHidden/>
    <w:uiPriority w:val="99"/>
    <w:rPr>
      <w:rFonts w:ascii="Times New Roman" w:hAnsi="Times New Roman" w:eastAsia="宋体" w:cs="Times New Roman"/>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17</Pages>
  <Words>1323</Words>
  <Characters>7544</Characters>
  <Lines>62</Lines>
  <Paragraphs>17</Paragraphs>
  <TotalTime>3</TotalTime>
  <ScaleCrop>false</ScaleCrop>
  <LinksUpToDate>false</LinksUpToDate>
  <CharactersWithSpaces>8850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2018-05-09T08:15:00Z</dcterms:created>
  <dc:creator>China</dc:creator>
  <cp:lastModifiedBy>Administrator</cp:lastModifiedBy>
  <dcterms:modified xsi:type="dcterms:W3CDTF">2018-05-11T00:51:26Z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