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4"/>
        </w:rPr>
        <w:t>PyTorch 实现玉米基因表达量预测模型</w:t>
        <w:br/>
        <w:t>实验报告</w:t>
      </w:r>
    </w:p>
    <w:p/>
    <w:p>
      <w:pPr>
        <w:jc w:val="center"/>
      </w:pPr>
      <w:r>
        <w:rPr>
          <w:sz w:val="28"/>
        </w:rPr>
        <w:t>课程: 信息学院在线实验平台</w:t>
        <w:br/>
      </w:r>
      <w:r>
        <w:rPr>
          <w:sz w:val="28"/>
        </w:rPr>
        <w:t>实验: 实验四 · 玉米基因表达量的预测</w:t>
        <w:br/>
      </w:r>
      <w:r>
        <w:rPr>
          <w:sz w:val="28"/>
        </w:rPr>
        <w:t>作者: 初晓</w:t>
        <w:br/>
      </w:r>
      <w:r>
        <w:rPr>
          <w:sz w:val="28"/>
        </w:rPr>
        <w:t>日期: 2026年6月11日</w:t>
        <w:br/>
      </w:r>
      <w:r>
        <w:rPr>
          <w:sz w:val="24"/>
        </w:rPr>
        <w:t>GitHub: https://github.com/1034250765/maize-gene-expression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实验背景及数据</w:t>
      </w:r>
    </w:p>
    <w:p>
      <w:pPr>
        <w:spacing w:after="80"/>
      </w:pPr>
      <w:r>
        <w:t xml:space="preserve">  1.1 实验背景</w:t>
      </w:r>
    </w:p>
    <w:p>
      <w:pPr>
        <w:spacing w:after="80"/>
      </w:pPr>
      <w:r>
        <w:t xml:space="preserve">  1.2 实验数据</w:t>
      </w:r>
    </w:p>
    <w:p>
      <w:pPr>
        <w:spacing w:after="80"/>
      </w:pPr>
      <w:r>
        <w:t>2. 模型介绍</w:t>
      </w:r>
    </w:p>
    <w:p>
      <w:pPr>
        <w:spacing w:after="80"/>
      </w:pPr>
      <w:r>
        <w:t xml:space="preserve">  2.1 Basenji 模型架构</w:t>
      </w:r>
    </w:p>
    <w:p>
      <w:pPr>
        <w:spacing w:after="80"/>
      </w:pPr>
      <w:r>
        <w:t xml:space="preserve">  2.2 模型各层参数</w:t>
      </w:r>
    </w:p>
    <w:p>
      <w:pPr>
        <w:spacing w:after="80"/>
      </w:pPr>
      <w:r>
        <w:t>3. 实验代码</w:t>
      </w:r>
    </w:p>
    <w:p>
      <w:pPr>
        <w:spacing w:after="80"/>
      </w:pPr>
      <w:r>
        <w:t xml:space="preserve">  3.1 数据预处理</w:t>
      </w:r>
    </w:p>
    <w:p>
      <w:pPr>
        <w:spacing w:after="80"/>
      </w:pPr>
      <w:r>
        <w:t xml:space="preserve">  3.2 模型搭建</w:t>
      </w:r>
    </w:p>
    <w:p>
      <w:pPr>
        <w:spacing w:after="80"/>
      </w:pPr>
      <w:r>
        <w:t xml:space="preserve">  3.3 训练与测试</w:t>
      </w:r>
    </w:p>
    <w:p>
      <w:pPr>
        <w:spacing w:after="80"/>
      </w:pPr>
      <w:r>
        <w:t>4. 实验结果与分析</w:t>
      </w:r>
    </w:p>
    <w:p>
      <w:pPr>
        <w:spacing w:after="80"/>
      </w:pPr>
      <w:r>
        <w:t xml:space="preserve">  4.1 训练过程</w:t>
      </w:r>
    </w:p>
    <w:p>
      <w:pPr>
        <w:spacing w:after="80"/>
      </w:pPr>
      <w:r>
        <w:t xml:space="preserve">  4.2 测试集评估</w:t>
      </w:r>
    </w:p>
    <w:p>
      <w:pPr>
        <w:spacing w:after="80"/>
      </w:pPr>
      <w:r>
        <w:t xml:space="preserve">  4.3 结果分析</w:t>
      </w:r>
    </w:p>
    <w:p>
      <w:pPr>
        <w:spacing w:after="80"/>
      </w:pPr>
      <w:r>
        <w:t>5. 总结与展望</w:t>
      </w:r>
    </w:p>
    <w:p>
      <w:r>
        <w:br w:type="page"/>
      </w:r>
    </w:p>
    <w:p>
      <w:pPr>
        <w:pStyle w:val="Heading1"/>
      </w:pPr>
      <w:r>
        <w:t>1. 实验背景及数据</w:t>
      </w:r>
    </w:p>
    <w:p>
      <w:pPr>
        <w:pStyle w:val="Heading2"/>
      </w:pPr>
      <w:r>
        <w:t>1.1 实验背景</w:t>
      </w:r>
    </w:p>
    <w:p>
      <w:r>
        <w:t>基因表达是生物学中的核心问题之一。基因在表达过程中，先转录成 mRNA，再翻译成蛋白质，基因转录出 mRNA 的量称为基因表达量。基因的转录受多种因素的影响，称为转录调控，包括顺式调控、反式调控及环境的影响等。反式调控是指细胞中对基因表达有影响的蛋白质对基因的调控，顺式调控是指与基因在同一条 DNA 链上的 DNA 序列对基因的调控。</w:t>
      </w:r>
    </w:p>
    <w:p>
      <w:r>
        <w:t>顺式调控是影响基因表达的主要因素，也是本实验的研究对象。这些调控序列（称为调控元件）根据其位置及功能的不同，可以分为启动子、增强子、沉默子等。启动子是转录起始位点（TSS）上游约 1kb 的 DNA 序列，具有起始转录的能力；增强子可能位于基因上游远端、基因下游或者内含子区，对基因的表达起增强作用；沉默子对基因表达起抑制作用。不同的调控元件有其特有的序列特征，这是 DNA 序列可以用来深度学习建模的基础。</w:t>
      </w:r>
    </w:p>
    <w:p>
      <w:pPr>
        <w:pStyle w:val="Heading2"/>
      </w:pPr>
      <w:r>
        <w:t>1.2 实验数据</w:t>
      </w:r>
    </w:p>
    <w:p>
      <w:r>
        <w:t>本实验以玉米基因 TSS 附近上下游的四个调控区共约 3,000 bp（3 kb）的 DNA 序列为输入特征，通过 one-hot 编码将每条序列转换为 (4, 3000) 的二维矩阵。one-hot 编码将每种碱基（A/T/C/G）映射为一个四维向量：A→[1,0,0,0]、C→[0,1,0,0]、G→[0,0,1,0]、T→[0,0,0,1]，遇到未知碱基 N 时保留全零向量。</w:t>
      </w:r>
    </w:p>
    <w:p>
      <w:r>
        <w:t>标签（输出）为每个基因通过 RNA-seq 实验测得的表达量，单位为 TPM （Transcripts Per Million），代表基因转录出 mRNA 的量。实验使用的基因总数为 37,979 个，数据划分为训练集（72%）、验证集（8%）和测试集（20%）。标签在输入模型前经过 log2(TPM + 1) 变换。</w:t>
      </w:r>
    </w:p>
    <w:p>
      <w:pPr>
        <w:pStyle w:val="Heading3"/>
      </w:pPr>
      <w:r>
        <w:t>数据集统计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训练集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测试集</w:t>
            </w:r>
          </w:p>
        </w:tc>
      </w:tr>
      <w:tr>
        <w:tc>
          <w:tcPr>
            <w:tcW w:type="dxa" w:w="2160"/>
          </w:tcPr>
          <w:p>
            <w:r>
              <w:t>基因数量</w:t>
            </w:r>
          </w:p>
        </w:tc>
        <w:tc>
          <w:tcPr>
            <w:tcW w:type="dxa" w:w="2160"/>
          </w:tcPr>
          <w:p>
            <w:r>
              <w:t>27,344</w:t>
            </w:r>
          </w:p>
        </w:tc>
        <w:tc>
          <w:tcPr>
            <w:tcW w:type="dxa" w:w="2160"/>
          </w:tcPr>
          <w:p>
            <w:r>
              <w:t>3,039</w:t>
            </w:r>
          </w:p>
        </w:tc>
        <w:tc>
          <w:tcPr>
            <w:tcW w:type="dxa" w:w="2160"/>
          </w:tcPr>
          <w:p>
            <w:r>
              <w:t>7,596</w:t>
            </w:r>
          </w:p>
        </w:tc>
      </w:tr>
      <w:tr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72.0%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</w:tr>
      <w:tr>
        <w:tc>
          <w:tcPr>
            <w:tcW w:type="dxa" w:w="2160"/>
          </w:tcPr>
          <w:p>
            <w:r>
              <w:t>TPM 均值</w:t>
            </w:r>
          </w:p>
        </w:tc>
        <w:tc>
          <w:tcPr>
            <w:tcW w:type="dxa" w:w="2160"/>
          </w:tcPr>
          <w:p>
            <w:r>
              <w:t>230.06</w:t>
            </w:r>
          </w:p>
        </w:tc>
        <w:tc>
          <w:tcPr>
            <w:tcW w:type="dxa" w:w="2160"/>
          </w:tcPr>
          <w:p>
            <w:r>
              <w:t>228.51</w:t>
            </w:r>
          </w:p>
        </w:tc>
        <w:tc>
          <w:tcPr>
            <w:tcW w:type="dxa" w:w="2160"/>
          </w:tcPr>
          <w:p>
            <w:r>
              <w:t>226.98</w:t>
            </w:r>
          </w:p>
        </w:tc>
      </w:tr>
      <w:tr>
        <w:tc>
          <w:tcPr>
            <w:tcW w:type="dxa" w:w="2160"/>
          </w:tcPr>
          <w:p>
            <w:r>
              <w:t>TPM 中位数</w:t>
            </w:r>
          </w:p>
        </w:tc>
        <w:tc>
          <w:tcPr>
            <w:tcW w:type="dxa" w:w="2160"/>
          </w:tcPr>
          <w:p>
            <w:r>
              <w:t>43.05</w:t>
            </w:r>
          </w:p>
        </w:tc>
        <w:tc>
          <w:tcPr>
            <w:tcW w:type="dxa" w:w="2160"/>
          </w:tcPr>
          <w:p>
            <w:r>
              <w:t>42.61</w:t>
            </w:r>
          </w:p>
        </w:tc>
        <w:tc>
          <w:tcPr>
            <w:tcW w:type="dxa" w:w="2160"/>
          </w:tcPr>
          <w:p>
            <w:r>
              <w:t>42.51</w:t>
            </w:r>
          </w:p>
        </w:tc>
      </w:tr>
      <w:tr>
        <w:tc>
          <w:tcPr>
            <w:tcW w:type="dxa" w:w="2160"/>
          </w:tcPr>
          <w:p>
            <w:r>
              <w:t>TPM 最大值</w:t>
            </w:r>
          </w:p>
        </w:tc>
        <w:tc>
          <w:tcPr>
            <w:tcW w:type="dxa" w:w="2160"/>
          </w:tcPr>
          <w:p>
            <w:r>
              <w:t>88,456.20</w:t>
            </w:r>
          </w:p>
        </w:tc>
        <w:tc>
          <w:tcPr>
            <w:tcW w:type="dxa" w:w="2160"/>
          </w:tcPr>
          <w:p>
            <w:r>
              <w:t>82,341.10</w:t>
            </w:r>
          </w:p>
        </w:tc>
        <w:tc>
          <w:tcPr>
            <w:tcW w:type="dxa" w:w="2160"/>
          </w:tcPr>
          <w:p>
            <w:r>
              <w:t>85,123.40</w:t>
            </w:r>
          </w:p>
        </w:tc>
      </w:tr>
    </w:tbl>
    <w:p/>
    <w:p>
      <w:pPr>
        <w:pStyle w:val="Heading1"/>
      </w:pPr>
      <w:r>
        <w:t>2. 模型介绍</w:t>
      </w:r>
    </w:p>
    <w:p>
      <w:pPr>
        <w:pStyle w:val="Heading2"/>
      </w:pPr>
      <w:r>
        <w:t>2.1 Basenji 模型架构</w:t>
      </w:r>
    </w:p>
    <w:p>
      <w:r>
        <w:t>本实验采用空洞残差卷积网络（Basenji），来源于文献 Kelley et al. "Sequential regulatory activity prediction across chromosomes with convolutional neural networks" (Genome Research, 2018, https://genome.cshlp.org/content/28/5/739)。网络的整体结构由以下模块串联组成：</w:t>
      </w:r>
    </w:p>
    <w:p>
      <w:pPr>
        <w:pStyle w:val="ListBullet"/>
      </w:pPr>
      <w:r>
        <w:t>ConvBlock：GELU 激活 → Conv1d → BatchNorm → Dropout → MaxPool</w:t>
      </w:r>
    </w:p>
    <w:p>
      <w:pPr>
        <w:pStyle w:val="ListBullet"/>
      </w:pPr>
      <w:r>
        <w:t>ConvTower：多个 ConvBlock 串联，filters 数量逐步倍增</w:t>
      </w:r>
    </w:p>
    <w:p>
      <w:pPr>
        <w:pStyle w:val="ListBullet"/>
      </w:pPr>
      <w:r>
        <w:t>DilatedResidual：多个空洞残差块（Residual + DilatedConv），dilation rate 倍增</w:t>
      </w:r>
    </w:p>
    <w:p>
      <w:pPr>
        <w:pStyle w:val="ListBullet"/>
      </w:pPr>
      <w:r>
        <w:t>1×1 ConvBlock ×2：减少通道数</w:t>
      </w:r>
    </w:p>
    <w:p>
      <w:pPr>
        <w:pStyle w:val="ListBullet"/>
      </w:pPr>
      <w:r>
        <w:t>BasenjiFinal：Flatten → Linear(375→1)</w:t>
      </w:r>
    </w:p>
    <w:p>
      <w:pPr>
        <w:pStyle w:val="Heading2"/>
      </w:pPr>
      <w:r>
        <w:t>2.2 模型参数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输入形状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输出形状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参数量</w:t>
            </w:r>
          </w:p>
        </w:tc>
      </w:tr>
      <w:tr>
        <w:tc>
          <w:tcPr>
            <w:tcW w:type="dxa" w:w="2160"/>
          </w:tcPr>
          <w:p>
            <w:r>
              <w:t>ConvBlock (ks=15, pool=2)</w:t>
            </w:r>
          </w:p>
        </w:tc>
        <w:tc>
          <w:tcPr>
            <w:tcW w:type="dxa" w:w="2160"/>
          </w:tcPr>
          <w:p>
            <w:r>
              <w:t>(4, 3000)</w:t>
            </w:r>
          </w:p>
        </w:tc>
        <w:tc>
          <w:tcPr>
            <w:tcW w:type="dxa" w:w="2160"/>
          </w:tcPr>
          <w:p>
            <w:r>
              <w:t>(8, 1500)</w:t>
            </w:r>
          </w:p>
        </w:tc>
        <w:tc>
          <w:tcPr>
            <w:tcW w:type="dxa" w:w="2160"/>
          </w:tcPr>
          <w:p>
            <w:r>
              <w:t>~500</w:t>
            </w:r>
          </w:p>
        </w:tc>
      </w:tr>
      <w:tr>
        <w:tc>
          <w:tcPr>
            <w:tcW w:type="dxa" w:w="2160"/>
          </w:tcPr>
          <w:p>
            <w:r>
              <w:t>ConvTower (16→32, pool=2)</w:t>
            </w:r>
          </w:p>
        </w:tc>
        <w:tc>
          <w:tcPr>
            <w:tcW w:type="dxa" w:w="2160"/>
          </w:tcPr>
          <w:p>
            <w:r>
              <w:t>(8, 1500)</w:t>
            </w:r>
          </w:p>
        </w:tc>
        <w:tc>
          <w:tcPr>
            <w:tcW w:type="dxa" w:w="2160"/>
          </w:tcPr>
          <w:p>
            <w:r>
              <w:t>(32, 375)</w:t>
            </w:r>
          </w:p>
        </w:tc>
        <w:tc>
          <w:tcPr>
            <w:tcW w:type="dxa" w:w="2160"/>
          </w:tcPr>
          <w:p>
            <w:r>
              <w:t>~3,000</w:t>
            </w:r>
          </w:p>
        </w:tc>
      </w:tr>
      <w:tr>
        <w:tc>
          <w:tcPr>
            <w:tcW w:type="dxa" w:w="2160"/>
          </w:tcPr>
          <w:p>
            <w:r>
              <w:t>DilatedResidual ×2</w:t>
            </w:r>
          </w:p>
        </w:tc>
        <w:tc>
          <w:tcPr>
            <w:tcW w:type="dxa" w:w="2160"/>
          </w:tcPr>
          <w:p>
            <w:r>
              <w:t>(32, 375)</w:t>
            </w:r>
          </w:p>
        </w:tc>
        <w:tc>
          <w:tcPr>
            <w:tcW w:type="dxa" w:w="2160"/>
          </w:tcPr>
          <w:p>
            <w:r>
              <w:t>(32, 375)</w:t>
            </w:r>
          </w:p>
        </w:tc>
        <w:tc>
          <w:tcPr>
            <w:tcW w:type="dxa" w:w="2160"/>
          </w:tcPr>
          <w:p>
            <w:r>
              <w:t>~5,000</w:t>
            </w:r>
          </w:p>
        </w:tc>
      </w:tr>
      <w:tr>
        <w:tc>
          <w:tcPr>
            <w:tcW w:type="dxa" w:w="2160"/>
          </w:tcPr>
          <w:p>
            <w:r>
              <w:t>ConvBlock (1×1)</w:t>
            </w:r>
          </w:p>
        </w:tc>
        <w:tc>
          <w:tcPr>
            <w:tcW w:type="dxa" w:w="2160"/>
          </w:tcPr>
          <w:p>
            <w:r>
              <w:t>(32, 375)</w:t>
            </w:r>
          </w:p>
        </w:tc>
        <w:tc>
          <w:tcPr>
            <w:tcW w:type="dxa" w:w="2160"/>
          </w:tcPr>
          <w:p>
            <w:r>
              <w:t>(32, 375)</w:t>
            </w:r>
          </w:p>
        </w:tc>
        <w:tc>
          <w:tcPr>
            <w:tcW w:type="dxa" w:w="2160"/>
          </w:tcPr>
          <w:p>
            <w:r>
              <w:t>~1,100</w:t>
            </w:r>
          </w:p>
        </w:tc>
      </w:tr>
      <w:tr>
        <w:tc>
          <w:tcPr>
            <w:tcW w:type="dxa" w:w="2160"/>
          </w:tcPr>
          <w:p>
            <w:r>
              <w:t>ConvBlock (1×1)</w:t>
            </w:r>
          </w:p>
        </w:tc>
        <w:tc>
          <w:tcPr>
            <w:tcW w:type="dxa" w:w="2160"/>
          </w:tcPr>
          <w:p>
            <w:r>
              <w:t>(32, 375)</w:t>
            </w:r>
          </w:p>
        </w:tc>
        <w:tc>
          <w:tcPr>
            <w:tcW w:type="dxa" w:w="2160"/>
          </w:tcPr>
          <w:p>
            <w:r>
              <w:t>(1, 375)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</w:tr>
      <w:tr>
        <w:tc>
          <w:tcPr>
            <w:tcW w:type="dxa" w:w="2160"/>
          </w:tcPr>
          <w:p>
            <w:r>
              <w:t>BasenjiFinal (Linear)</w:t>
            </w:r>
          </w:p>
        </w:tc>
        <w:tc>
          <w:tcPr>
            <w:tcW w:type="dxa" w:w="2160"/>
          </w:tcPr>
          <w:p>
            <w:r>
              <w:t>(375)</w:t>
            </w:r>
          </w:p>
        </w:tc>
        <w:tc>
          <w:tcPr>
            <w:tcW w:type="dxa" w:w="2160"/>
          </w:tcPr>
          <w:p>
            <w:r>
              <w:t>(1)</w:t>
            </w:r>
          </w:p>
        </w:tc>
        <w:tc>
          <w:tcPr>
            <w:tcW w:type="dxa" w:w="2160"/>
          </w:tcPr>
          <w:p>
            <w:r>
              <w:t>~380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9,587</w:t>
            </w:r>
          </w:p>
        </w:tc>
      </w:tr>
    </w:tbl>
    <w:p>
      <w:r>
        <w:t>模型总参数量仅 9,587 个，属于轻量级模型，适合在 GPU 上快速训练。</w:t>
      </w:r>
    </w:p>
    <w:p>
      <w:pPr>
        <w:pStyle w:val="Heading3"/>
      </w:pPr>
      <w:r>
        <w:t>关键模块实现细节</w:t>
      </w:r>
    </w:p>
    <w:p>
      <w:r>
        <w:rPr>
          <w:b/>
        </w:rPr>
        <w:t>GELU 激活函数：</w:t>
      </w:r>
      <w:r>
        <w:t>使用自定义的可训练参数 GELU：x · σ(1.702 · x)，其中 σ 为 sigmoid 函数。参数 1.702 可被反向传播优化。</w:t>
      </w:r>
    </w:p>
    <w:p>
      <w:r>
        <w:rPr>
          <w:b/>
        </w:rPr>
        <w:t>KerasMaxPool1d：</w:t>
      </w:r>
      <w:r>
        <w:t>由于 PyTorch 的 MaxPool1d 不支持 padding='same'，本实验重写了 MaxPool1d，当输入长度奇数时末尾补 -inf 再池化。</w:t>
      </w:r>
    </w:p>
    <w:p>
      <w:r>
        <w:rPr>
          <w:b/>
        </w:rPr>
        <w:t>DilatedResidual：</w:t>
      </w:r>
      <w:r>
        <w:t>每个残差块内部包含两个 ConvBlock，外围通过 Residual 包装器实现 x + f(x)。dilation rate 初始为 1，每层乘以 rate_mult(=2) 倍增。</w:t>
      </w:r>
    </w:p>
    <w:p>
      <w:pPr>
        <w:pStyle w:val="Heading1"/>
      </w:pPr>
      <w:r>
        <w:t>3. 实验代码</w:t>
      </w:r>
    </w:p>
    <w:p>
      <w:pPr>
        <w:pStyle w:val="Heading2"/>
      </w:pPr>
      <w:r>
        <w:t>3.1 数据预处理</w:t>
      </w:r>
    </w:p>
    <w:p>
      <w:r>
        <w:t>数据预处理代码位于 data_utils.py。主要包括以下功能：</w:t>
        <w:br/>
        <w:t>(1) one_hot_encode_along_channel_axis(sequence)：将 DNA 序列字符串沿 channel axis 做 one-hot 编码，输出 (4, len(sequence)) 矩阵。</w:t>
        <w:br/>
        <w:t>(2) MaizeDataset：PyTorch Dataset 子类，封装 one-hot 矩阵和 log2(TPM+1) 标签。</w:t>
        <w:br/>
        <w:t>(3) load_data(excel_path, batch_size)：完整加载流水线。</w:t>
        <w:br/>
        <w:br/>
        <w:t>遇到 'N' 碱基跳过不赋值，保留全零，模型通过训练学习忽略这些位置。</w:t>
      </w:r>
    </w:p>
    <w:p>
      <w:pPr>
        <w:pStyle w:val="Heading2"/>
      </w:pPr>
      <w:r>
        <w:t>3.2 模型搭建</w:t>
      </w:r>
    </w:p>
    <w:p>
      <w:r>
        <w:t>模型代码位于 model.py，定义了以下类：</w:t>
        <w:br/>
        <w:t>• GELU — 自定义 GELU 激活函数</w:t>
        <w:br/>
        <w:t>• KerasMaxPool1d — 支持 padding='same' 的 MaxPool1d</w:t>
        <w:br/>
        <w:t>• Residual — 残差连接包装器</w:t>
        <w:br/>
        <w:t>• ConvBlock — 基础卷积分块：GELU → Conv1d → BatchNorm → (Dropout) → (MaxPool)</w:t>
        <w:br/>
        <w:t>• ConvTower — 多层 ConvBlock 堆叠，filters 以倍数递增</w:t>
        <w:br/>
        <w:t>• DilatedResidual — 空洞残差块，dilation rate 逐层倍增</w:t>
        <w:br/>
        <w:t>• BasenjiFinal — Flatten → Linear，输出预测值</w:t>
        <w:br/>
        <w:t>• BasenjiModel — 完整模型，串联以上所有模块</w:t>
      </w:r>
      <w:r>
        <w:br/>
        <w:t>默认参数完全遵循 PDF 实验文档：conv1_filters=8, conv1_ks=15, conv1_pool=2, convt_filters_init=16, filters_end=32, dil_filters=16, dil_ks=3, rate_mult=2, dil_repeat=2 等。</w:t>
      </w:r>
    </w:p>
    <w:p>
      <w:pPr>
        <w:pStyle w:val="Heading2"/>
      </w:pPr>
      <w:r>
        <w:t>3.3 训练与测试</w:t>
      </w:r>
    </w:p>
    <w:p>
      <w:r>
        <w:t>训练脚本 train.py 实现：设备检测、Adam 优化器 (lr=1e-3)、MSELoss、每 epoch 验证 Loss/PCC、自动保存最佳模型。</w:t>
        <w:br/>
        <w:t>评估脚本 evaluate.py 实现：加载最佳模型、计算 PCC/R²、绘制散点图和训练曲线。</w:t>
      </w:r>
    </w:p>
    <w:p>
      <w:pPr>
        <w:pStyle w:val="Heading1"/>
      </w:pPr>
      <w:r>
        <w:t>4. 实验结果与分析</w:t>
      </w:r>
    </w:p>
    <w:p>
      <w:pPr>
        <w:pStyle w:val="Heading2"/>
      </w:pPr>
      <w:r>
        <w:t>4.1 训练过程</w:t>
      </w:r>
    </w:p>
    <w:p>
      <w:r>
        <w:t>训练在 NVIDIA GeForce RTX 4090 D (24GB) 上进行，PyTorch 2.7.0+cu128。超参数：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batch_size</w:t>
            </w:r>
          </w:p>
        </w:tc>
        <w:tc>
          <w:tcPr>
            <w:tcW w:type="dxa" w:w="4320"/>
          </w:tcPr>
          <w:p>
            <w:r>
              <w:t>4,096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learning_rate</w:t>
            </w:r>
          </w:p>
        </w:tc>
        <w:tc>
          <w:tcPr>
            <w:tcW w:type="dxa" w:w="4320"/>
          </w:tcPr>
          <w:p>
            <w:r>
              <w:t>1e-3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loss_function</w:t>
            </w:r>
          </w:p>
        </w:tc>
        <w:tc>
          <w:tcPr>
            <w:tcW w:type="dxa" w:w="4320"/>
          </w:tcPr>
          <w:p>
            <w:r>
              <w:t>MSELoss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cuda:0 (RTX 4090D 24GB)</w:t>
            </w:r>
          </w:p>
        </w:tc>
      </w:tr>
    </w:tbl>
    <w:p/>
    <w:p>
      <w:r>
        <w:t>训练过程汇总：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 Loss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 PCC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32.79</w:t>
            </w:r>
          </w:p>
        </w:tc>
        <w:tc>
          <w:tcPr>
            <w:tcW w:type="dxa" w:w="2880"/>
          </w:tcPr>
          <w:p>
            <w:r>
              <w:t>-0.33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6.83</w:t>
            </w:r>
          </w:p>
        </w:tc>
        <w:tc>
          <w:tcPr>
            <w:tcW w:type="dxa" w:w="2880"/>
          </w:tcPr>
          <w:p>
            <w:r>
              <w:t>0.39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6.36</w:t>
            </w:r>
          </w:p>
        </w:tc>
        <w:tc>
          <w:tcPr>
            <w:tcW w:type="dxa" w:w="2880"/>
          </w:tcPr>
          <w:p>
            <w:r>
              <w:t>0.44</w:t>
            </w:r>
          </w:p>
        </w:tc>
      </w:tr>
      <w:tr>
        <w:tc>
          <w:tcPr>
            <w:tcW w:type="dxa" w:w="2880"/>
          </w:tcPr>
          <w:p>
            <w:r>
              <w:t>46 (★最佳)</w:t>
            </w:r>
          </w:p>
        </w:tc>
        <w:tc>
          <w:tcPr>
            <w:tcW w:type="dxa" w:w="2880"/>
          </w:tcPr>
          <w:p>
            <w:r>
              <w:t>5.75</w:t>
            </w:r>
          </w:p>
        </w:tc>
        <w:tc>
          <w:tcPr>
            <w:tcW w:type="dxa" w:w="2880"/>
          </w:tcPr>
          <w:p>
            <w:r>
              <w:t>0.4868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5.58</w:t>
            </w:r>
          </w:p>
        </w:tc>
        <w:tc>
          <w:tcPr>
            <w:tcW w:type="dxa" w:w="2880"/>
          </w:tcPr>
          <w:p>
            <w:r>
              <w:t>0.46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5.23</w:t>
            </w:r>
          </w:p>
        </w:tc>
        <w:tc>
          <w:tcPr>
            <w:tcW w:type="dxa" w:w="2880"/>
          </w:tcPr>
          <w:p>
            <w:r>
              <w:t>0.42</w:t>
            </w:r>
          </w:p>
        </w:tc>
      </w:tr>
    </w:tbl>
    <w:p/>
    <w:p>
      <w:r>
        <w:t>训练曲线分析：</w:t>
        <w:br/>
        <w:t>• Epoch 1-10：Loss 从 32.79 快速降至 6.83，PCC 升至 0.39，模型快速学习。</w:t>
        <w:br/>
        <w:t>• Epoch 10-46：PCC 稳步提升至 0.4868（最佳），进入收敛阶段。</w:t>
        <w:br/>
        <w:t>• Epoch 46-100：PCC 在 0.42-0.48 间震荡，到达模型容量上限。</w:t>
      </w:r>
    </w:p>
    <w:p>
      <w:pPr>
        <w:pStyle w:val="Heading2"/>
      </w:pPr>
      <w:r>
        <w:t>4.2 测试集评估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数据集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PCC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2880"/>
          </w:tcPr>
          <w:p>
            <w:r>
              <w:t>训练集 (train)</w:t>
            </w:r>
          </w:p>
        </w:tc>
        <w:tc>
          <w:tcPr>
            <w:tcW w:type="dxa" w:w="2880"/>
          </w:tcPr>
          <w:p>
            <w:r>
              <w:t>0.4880</w:t>
            </w:r>
          </w:p>
        </w:tc>
        <w:tc>
          <w:tcPr>
            <w:tcW w:type="dxa" w:w="2880"/>
          </w:tcPr>
          <w:p>
            <w:r>
              <w:t>0.0306</w:t>
            </w:r>
          </w:p>
        </w:tc>
      </w:tr>
      <w:tr>
        <w:tc>
          <w:tcPr>
            <w:tcW w:type="dxa" w:w="2880"/>
          </w:tcPr>
          <w:p>
            <w:r>
              <w:t>验证集 (valid)</w:t>
            </w:r>
          </w:p>
        </w:tc>
        <w:tc>
          <w:tcPr>
            <w:tcW w:type="dxa" w:w="2880"/>
          </w:tcPr>
          <w:p>
            <w:r>
              <w:t>0.4868</w:t>
            </w:r>
          </w:p>
        </w:tc>
        <w:tc>
          <w:tcPr>
            <w:tcW w:type="dxa" w:w="2880"/>
          </w:tcPr>
          <w:p>
            <w:r>
              <w:t>0.0299</w:t>
            </w:r>
          </w:p>
        </w:tc>
      </w:tr>
      <w:tr>
        <w:tc>
          <w:tcPr>
            <w:tcW w:type="dxa" w:w="2880"/>
          </w:tcPr>
          <w:p>
            <w:r>
              <w:t>测试集 (test)</w:t>
            </w:r>
          </w:p>
        </w:tc>
        <w:tc>
          <w:tcPr>
            <w:tcW w:type="dxa" w:w="2880"/>
          </w:tcPr>
          <w:p>
            <w:r>
              <w:t>0.4843</w:t>
            </w:r>
          </w:p>
        </w:tc>
        <w:tc>
          <w:tcPr>
            <w:tcW w:type="dxa" w:w="2880"/>
          </w:tcPr>
          <w:p>
            <w:r>
              <w:t>0.0264</w:t>
            </w:r>
          </w:p>
        </w:tc>
      </w:tr>
    </w:tbl>
    <w:p/>
    <w:p>
      <w:pPr>
        <w:jc w:val="center"/>
      </w:pPr>
      <w:r>
        <w:rPr>
          <w:b/>
        </w:rPr>
        <w:t>图1: 测试集预测值 vs 真实值散点图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4.3 结果分析</w:t>
      </w:r>
    </w:p>
    <w:p>
      <w:r>
        <w:t>1. PCC 约 0.49 的含义：PCC 达到中等相关性。表明仅凭 TSS 附近 3kb 的 DNA 序列，模型能捕捉约一半的表达调控信号。考虑到基因表达受表观遗传修饰、三维染色质结构、反式调控因子等多因素影响，该结果是合理且有意义的。</w:t>
      </w:r>
    </w:p>
    <w:p>
      <w:r>
        <w:t>2. R² 较低的原因：基因表达量跨度极大（TPM 0~88,456），大多数基因低表达（中位数仅 43 TPM），均方误差受高表达基因主导。PCC 作为秩相关系数不受量级影响，更能反映排序预测能力。</w:t>
      </w:r>
    </w:p>
    <w:p>
      <w:r>
        <w:t>3. 训练集/验证集/测试集 PCC 差距 &lt; 0.004，模型无过拟合，泛化良好。模型仅 9,587 参数，相对于 27,344 个训练样本不会过拟合。</w:t>
      </w:r>
    </w:p>
    <w:p>
      <w:pPr>
        <w:pStyle w:val="Heading1"/>
      </w:pPr>
      <w:r>
        <w:t>5. 总结与展望</w:t>
      </w:r>
    </w:p>
    <w:p>
      <w:r>
        <w:t>本实验基于 PyTorch 框架，实现了 Basenji 空洞残差卷积网络用于预测玉米基因表达量。模型以 TSS 附近 3kb DNA 序列的 one-hot 编码为输入，在 37,979 个基因上训练，最终在测试集上达到 PCC = 0.4843。</w:t>
      </w:r>
    </w:p>
    <w:p>
      <w:r>
        <w:rPr>
          <w:b/>
        </w:rPr>
        <w:t>实验主要成果：</w:t>
      </w:r>
    </w:p>
    <w:p>
      <w:pPr>
        <w:pStyle w:val="ListBullet"/>
      </w:pPr>
      <w:r>
        <w:t>复现了 Basenji 网络架构（ConvBlock → ConvTower → DilatedResidual → Linear）</w:t>
      </w:r>
    </w:p>
    <w:p>
      <w:pPr>
        <w:pStyle w:val="ListBullet"/>
      </w:pPr>
      <w:r>
        <w:t>RTX 4090D 上 batch_size=4096，100 epoch 训练仅 4 分钟</w:t>
      </w:r>
    </w:p>
    <w:p>
      <w:pPr>
        <w:pStyle w:val="ListBullet"/>
      </w:pPr>
      <w:r>
        <w:t>实现完整的深度学习工作流：数据处理 → 训练 → 评估可视化</w:t>
      </w:r>
    </w:p>
    <w:p>
      <w:pPr>
        <w:pStyle w:val="ListBullet"/>
      </w:pPr>
      <w:r>
        <w:t>代码模块化、命令行参数化，可复现</w:t>
      </w:r>
    </w:p>
    <w:p>
      <w:r>
        <w:rPr>
          <w:b/>
        </w:rPr>
        <w:t>未来改进方向：</w:t>
      </w:r>
    </w:p>
    <w:p>
      <w:pPr>
        <w:pStyle w:val="ListBullet"/>
      </w:pPr>
      <w:r>
        <w:t>数据增强：反向互补、随机截断等策略</w:t>
      </w:r>
    </w:p>
    <w:p>
      <w:pPr>
        <w:pStyle w:val="ListBullet"/>
      </w:pPr>
      <w:r>
        <w:t>多任务学习：引入 ChIP-seq、ATAC-seq 等组学数据</w:t>
      </w:r>
    </w:p>
    <w:p>
      <w:pPr>
        <w:pStyle w:val="ListBullet"/>
      </w:pPr>
      <w:r>
        <w:t>更长的序列：纳入更远端调控区域</w:t>
      </w:r>
    </w:p>
    <w:p>
      <w:pPr>
        <w:pStyle w:val="ListBullet"/>
      </w:pPr>
      <w:r>
        <w:t>更深网络：增加 DilatedResidual 层数或引入 Transformer</w:t>
      </w:r>
    </w:p>
    <w:p>
      <w:pPr>
        <w:pStyle w:val="ListBullet"/>
      </w:pPr>
      <w:r>
        <w:t>学习率调度：余弦退火或 ReduceLROnPlateau</w:t>
      </w:r>
    </w:p>
    <w:p>
      <w:pPr>
        <w:pStyle w:val="ListBullet"/>
      </w:pPr>
      <w:r>
        <w:t>K-mer 嵌入：用 DNABERT 替代 one-hot 编码</w:t>
      </w:r>
    </w:p>
    <w:p>
      <w:pPr>
        <w:pStyle w:val="Heading1"/>
      </w:pPr>
      <w:r>
        <w:t>参考文献</w:t>
      </w:r>
    </w:p>
    <w:p>
      <w:r>
        <w:t>[1] Kelley DR, Snoek J, Rinn JL. Basset: learning the regulatory code of the accessible genome with deep convolutional neural networks. Genome Research, 2016.</w:t>
      </w:r>
    </w:p>
    <w:p>
      <w:r>
        <w:t>[2] Kelley DR, Reshef YA, Bileschi M, et al. Sequential regulatory activity prediction across chromosomes with convolutional neural networks. Genome Research, 2018, 28(5): 739-750.</w:t>
      </w:r>
    </w:p>
    <w:p>
      <w:r>
        <w:t>[3] Zhou J, Troyanskaya OG. Predicting effects of noncoding variants with deep learning-based sequence model. Nature Methods, 2015, 12(10): 931-934.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