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320"/>
        <w:ind w:firstLine="0"/>
        <w:jc w:val="center"/>
      </w:pPr>
      <w:r>
        <w:rPr>
          <w:b/>
          <w:color w:val="000000"/>
        </w:rPr>
        <w:t>CowCV研究进展汇报</w:t>
      </w:r>
    </w:p>
    <w:p>
      <w:pPr>
        <w:jc w:val="both"/>
      </w:pPr>
      <w:r>
        <w:t>本阶段围绕CowCV牛只检测研究，开展域内基准、模型效率和跨域泛化三类实验，同时推进公开数据集筛选与困难子集分析准备。</w:t>
      </w:r>
    </w:p>
    <w:p>
      <w:pPr>
        <w:jc w:val="both"/>
      </w:pPr>
      <w:r>
        <w:t>域内检测基准与宏平均比较，主要是在14个数据集上分别训练YOLO11m、RT-DETR-L、Faster R-CNN和RetinaNet，记录各模型的检测表现，再按数据集等权计算宏平均。逐数据集比较用于观察不同检测器的适用场景，宏平均用于概括总体表现，避免大数据集主导汇总结果。该实验为各数据域建立域内参照，也为后续跨域性能下降分析提供依据。</w:t>
      </w:r>
    </w:p>
    <w:p>
      <w:pPr>
        <w:jc w:val="both"/>
      </w:pPr>
      <w:r>
        <w:t>域内模型效率与部署选择，主要比较YOLO11s、YOLO11m和YOLO11l的检测精度、推理延迟、显存占用、参数量及训练成本。通过同一模型族不同容量的对照，考察增加模型规模所需的资源投入与精度收益。其作用是为实时监测、资源受限设备和精度优先场景提供选择依据，使部署决策同时考虑检测效果与运行成本。</w:t>
      </w:r>
    </w:p>
    <w:p>
      <w:pPr>
        <w:jc w:val="both"/>
      </w:pPr>
      <w:r>
        <w:t>跨域对比实验，固定YOLO11m，开展14×14单源迁移和多源留一域实验。单源实验将一个数据集训练的模型直接应用于其他数据集，用于观察数据源之间的迁移能力及方向差异；留一域实验使用其余13个数据集联合训练，再测试完整留出的目标域，用于检验多源训练对未见场景的泛化能力。同时加入原始预训练模型参照，考察单域微调对其他场景表现的影响，明确域内适应与跨域泛化之间的关系。</w:t>
      </w:r>
    </w:p>
    <w:p>
      <w:pPr>
        <w:jc w:val="both"/>
      </w:pPr>
      <w:r>
        <w:t>综述与数据集筛选，结合2025年和2026年两篇综述，整理牛类公开数据集的任务、模态、场景、标注及获取方式，并按照整牛检测框语义、标注质量、来源独立性和许可条件进行筛选。这项工作用于补充现有基准中的场景空白，识别可用于外部验证的新数据源，并减少同源重复、标注不兼容和视频帧冗余带来的评测偏差。</w:t>
      </w:r>
    </w:p>
    <w:p>
      <w:pPr>
        <w:jc w:val="both"/>
      </w:pPr>
      <w:r>
        <w:t>后续拟开展视觉语言模型零样本检测与困难子集分析。首先利用Grounding DINO-T在冻结评测集上直接检测，根据预测框与真实框的匹配结果筛选困难候选；再通过OWLv2和YOLO验证这些样本是否对其他模型同样困难。结合真实框统计、Qwen3-VL辅助标记与人工审核，分析小目标、遮挡、鱼眼和低照度等属性与检测表现的关联，形成可复现的困难子集，为误差分析和后续模型改进提供依据。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6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黑体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hAnsi="Calibri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CowCV研究进展汇报</dc:title>
  <dc:subject>牛只检测基准 跨域泛化 数据集筛选与困难子集分析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