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ECD2C6">
      <w:pPr>
        <w:pStyle w:val="31"/>
        <w:keepNext/>
      </w:pPr>
      <w:r>
        <w:rPr>
          <w:rFonts w:ascii="微软雅黑" w:hAnsi="微软雅黑" w:eastAsia="微软雅黑"/>
          <w:sz w:val="40"/>
        </w:rPr>
        <w:t>学习进展汇报</w:t>
      </w:r>
    </w:p>
    <w:p w14:paraId="65971E13">
      <w:pPr>
        <w:pStyle w:val="4"/>
        <w:keepNext/>
      </w:pPr>
      <w:r>
        <w:rPr>
          <w:rFonts w:ascii="微软雅黑" w:hAnsi="微软雅黑" w:eastAsia="微软雅黑"/>
          <w:sz w:val="24"/>
        </w:rPr>
        <w:t>一、总体概述</w:t>
      </w:r>
    </w:p>
    <w:p w14:paraId="1463FE44">
      <w:pPr>
        <w:pStyle w:val="19"/>
        <w:spacing w:after="80" w:line="283" w:lineRule="auto"/>
      </w:pPr>
      <w:r>
        <w:rPr>
          <w:rFonts w:ascii="微软雅黑" w:hAnsi="微软雅黑" w:eastAsia="微软雅黑"/>
          <w:sz w:val="21"/>
        </w:rPr>
        <w:t>围绕两条主线开展工作：</w:t>
      </w:r>
    </w:p>
    <w:p w14:paraId="664D0282">
      <w:pPr>
        <w:pStyle w:val="19"/>
        <w:spacing w:after="80"/>
        <w:ind w:left="403" w:hanging="403"/>
      </w:pPr>
      <w:r>
        <w:rPr>
          <w:rFonts w:ascii="微软雅黑" w:hAnsi="微软雅黑" w:eastAsia="微软雅黑"/>
          <w:sz w:val="21"/>
        </w:rPr>
        <w:t xml:space="preserve">1.  </w:t>
      </w:r>
      <w:r>
        <w:rPr>
          <w:rFonts w:ascii="微软雅黑" w:hAnsi="微软雅黑" w:eastAsia="微软雅黑"/>
          <w:b/>
          <w:sz w:val="21"/>
        </w:rPr>
        <w:t>基础学习</w:t>
      </w:r>
      <w:r>
        <w:rPr>
          <w:rFonts w:ascii="微软雅黑" w:hAnsi="微软雅黑" w:eastAsia="微软雅黑"/>
          <w:sz w:val="21"/>
        </w:rPr>
        <w:t>：完成研究生课程学习，并以《动手学深度学习》、吴恩达《Machine Learning Specialization》和斯坦福实用机器学习等为主线系统学习机器学习与深度学习：</w:t>
      </w:r>
    </w:p>
    <w:p w14:paraId="1C75819D">
      <w:pPr>
        <w:pStyle w:val="16"/>
        <w:spacing w:after="60"/>
      </w:pPr>
      <w:r>
        <w:rPr>
          <w:rFonts w:ascii="微软雅黑" w:hAnsi="微软雅黑" w:eastAsia="微软雅黑"/>
          <w:b/>
          <w:sz w:val="21"/>
        </w:rPr>
        <w:t>机器学习基础与工程方法论</w:t>
      </w:r>
      <w:r>
        <w:rPr>
          <w:rFonts w:ascii="微软雅黑" w:hAnsi="微软雅黑" w:eastAsia="微软雅黑"/>
          <w:sz w:val="21"/>
        </w:rPr>
        <w:t>：监督/无监督学习范式、决策树、聚类、异常检测（高斯建模与阈值 ε 选取）、多种回归与损失函数；模型诊断基础（偏差-方差分析、学习曲线）、ML 策略与错误分析（迭代改进循环、错误分析、倾斜数据集的精确率/召回率权衡）、模型容量与数据量的权衡，形成了"先诊断、再改进"的实验方法论。</w:t>
      </w:r>
    </w:p>
    <w:p w14:paraId="2AB911E3">
      <w:pPr>
        <w:pStyle w:val="16"/>
        <w:spacing w:after="60"/>
      </w:pPr>
      <w:r>
        <w:rPr>
          <w:rFonts w:ascii="微软雅黑" w:hAnsi="微软雅黑" w:eastAsia="微软雅黑"/>
          <w:b/>
          <w:sz w:val="21"/>
        </w:rPr>
        <w:t>深度学习与卷积网络</w:t>
      </w:r>
      <w:r>
        <w:rPr>
          <w:rFonts w:ascii="微软雅黑" w:hAnsi="微软雅黑" w:eastAsia="微软雅黑"/>
          <w:sz w:val="21"/>
        </w:rPr>
        <w:t>：从张量操作、多层感知机、数值稳定性与初始化，到卷积/池化/归一化/转置卷积等网络层，以及 LeNet、AlexNet、VGG、NiN、GoogLeNet、ResNet 等经典架构和通道注意力（CBAM）机制。</w:t>
      </w:r>
    </w:p>
    <w:p w14:paraId="18D01394">
      <w:pPr>
        <w:pStyle w:val="16"/>
        <w:spacing w:after="60"/>
      </w:pPr>
      <w:r>
        <w:rPr>
          <w:rFonts w:ascii="微软雅黑" w:hAnsi="微软雅黑" w:eastAsia="微软雅黑"/>
          <w:b/>
          <w:sz w:val="21"/>
        </w:rPr>
        <w:t>目标检测与图像任务</w:t>
      </w:r>
      <w:r>
        <w:rPr>
          <w:rFonts w:ascii="微软雅黑" w:hAnsi="微软雅黑" w:eastAsia="微软雅黑"/>
          <w:sz w:val="21"/>
        </w:rPr>
        <w:t>：R-CNN 系列、SSD、YOLO 系列，锚框、IoU、NMS 与 mAP 评价体系；数据增强、迁移学习与微调、语义/实例分割与 FCN。</w:t>
      </w:r>
    </w:p>
    <w:p w14:paraId="664255A9">
      <w:pPr>
        <w:pStyle w:val="16"/>
        <w:spacing w:after="60"/>
      </w:pPr>
      <w:r>
        <w:rPr>
          <w:rFonts w:ascii="微软雅黑" w:hAnsi="微软雅黑" w:eastAsia="微软雅黑"/>
          <w:b/>
          <w:sz w:val="21"/>
        </w:rPr>
        <w:t>序列模型与前沿论文</w:t>
      </w:r>
      <w:r>
        <w:rPr>
          <w:rFonts w:ascii="微软雅黑" w:hAnsi="微软雅黑" w:eastAsia="微软雅黑"/>
          <w:sz w:val="21"/>
        </w:rPr>
        <w:t>：RNN、GRU、编码器-解码器、注意力机制与 Transformer；精读 Transformer、BERT、Mamba（状态空间模型）以及与科研直接相关的领域自适应论文 DANN。</w:t>
      </w:r>
    </w:p>
    <w:p w14:paraId="7FA3D77F">
      <w:pPr>
        <w:pStyle w:val="16"/>
        <w:spacing w:after="60"/>
      </w:pPr>
      <w:r>
        <w:rPr>
          <w:rFonts w:ascii="微软雅黑" w:hAnsi="微软雅黑" w:eastAsia="微软雅黑"/>
          <w:b/>
          <w:sz w:val="21"/>
        </w:rPr>
        <w:t>实践巩固</w:t>
      </w:r>
      <w:r>
        <w:rPr>
          <w:rFonts w:ascii="微软雅黑" w:hAnsi="微软雅黑" w:eastAsia="微软雅黑"/>
          <w:sz w:val="21"/>
        </w:rPr>
        <w:t>：完成房价预测、图像分类、YOLO 目标检测、Transformer 翻译模型等多个训练项目，熟悉 PyTorch 全流程与 CPU/GPU 计算性能基础。</w:t>
      </w:r>
    </w:p>
    <w:p w14:paraId="6935AE88">
      <w:pPr>
        <w:pStyle w:val="19"/>
        <w:spacing w:after="80"/>
        <w:ind w:left="403" w:hanging="403"/>
      </w:pPr>
      <w:r>
        <w:rPr>
          <w:rFonts w:ascii="微软雅黑" w:hAnsi="微软雅黑" w:eastAsia="微软雅黑"/>
          <w:sz w:val="21"/>
        </w:rPr>
        <w:t xml:space="preserve">2.  </w:t>
      </w:r>
      <w:r>
        <w:rPr>
          <w:rFonts w:ascii="微软雅黑" w:hAnsi="微软雅黑" w:eastAsia="微软雅黑"/>
          <w:b/>
          <w:sz w:val="21"/>
        </w:rPr>
        <w:t>科研工作</w:t>
      </w:r>
      <w:r>
        <w:rPr>
          <w:rFonts w:ascii="微软雅黑" w:hAnsi="微软雅黑" w:eastAsia="微软雅黑"/>
          <w:sz w:val="21"/>
        </w:rPr>
        <w:t>：参与牛只目标检测数据集（CowCV）项目，完成数据集调研下载、标注格式统一、标注质量复查、跨域泛化 benchmark 实验以及数据平台的前后端开发与 Docker 部署。已完成 14 个数据集 × 2 种检测器（YOLO11m、RT-DETR-L）共 28 组单数据集基线实验，以及单数据集与多源混合训练的跨域泛化对比实验。</w:t>
      </w:r>
    </w:p>
    <w:p w14:paraId="55B809EA">
      <w:pPr>
        <w:pStyle w:val="19"/>
        <w:spacing w:after="80" w:line="283" w:lineRule="auto"/>
      </w:pPr>
      <w:r>
        <w:rPr>
          <w:rFonts w:ascii="微软雅黑" w:hAnsi="微软雅黑" w:eastAsia="微软雅黑"/>
          <w:sz w:val="21"/>
        </w:rPr>
        <w:t>目前能够独立完成"数据准备 → 模型训练 → 指标评估 → 跨域分析"的完整实验闭环。</w:t>
      </w:r>
    </w:p>
    <w:p w14:paraId="6BB059D7">
      <w:pPr>
        <w:pStyle w:val="4"/>
        <w:keepNext/>
      </w:pPr>
      <w:r>
        <w:rPr>
          <w:rFonts w:ascii="微软雅黑" w:hAnsi="微软雅黑" w:eastAsia="微软雅黑"/>
          <w:sz w:val="24"/>
        </w:rPr>
        <w:t>二、课程学习</w:t>
      </w:r>
    </w:p>
    <w:p w14:paraId="275342EA">
      <w:pPr>
        <w:pStyle w:val="16"/>
        <w:spacing w:after="60"/>
      </w:pPr>
      <w:r>
        <w:rPr>
          <w:rFonts w:ascii="微软雅黑" w:hAnsi="微软雅黑" w:eastAsia="微软雅黑"/>
          <w:sz w:val="21"/>
        </w:rPr>
        <w:t>完成高级计算机网络课程学习。</w:t>
      </w:r>
    </w:p>
    <w:p w14:paraId="61B15F17">
      <w:pPr>
        <w:pStyle w:val="16"/>
        <w:spacing w:after="60"/>
      </w:pPr>
      <w:r>
        <w:rPr>
          <w:rFonts w:ascii="微软雅黑" w:hAnsi="微软雅黑" w:eastAsia="微软雅黑"/>
          <w:sz w:val="21"/>
        </w:rPr>
        <w:t>完成自然语言处理与知识发现</w:t>
      </w:r>
      <w:r>
        <w:rPr>
          <w:rFonts w:hint="eastAsia"/>
          <w:sz w:val="21"/>
          <w:lang w:val="en-US" w:eastAsia="zh-CN"/>
        </w:rPr>
        <w:t>等</w:t>
      </w:r>
      <w:r>
        <w:rPr>
          <w:rFonts w:ascii="微软雅黑" w:hAnsi="微软雅黑" w:eastAsia="微软雅黑"/>
          <w:sz w:val="21"/>
        </w:rPr>
        <w:t>课程学习。</w:t>
      </w:r>
    </w:p>
    <w:p w14:paraId="1B1D9ECA">
      <w:pPr>
        <w:pStyle w:val="4"/>
        <w:keepNext/>
      </w:pPr>
      <w:r>
        <w:rPr>
          <w:rFonts w:ascii="微软雅黑" w:hAnsi="微软雅黑" w:eastAsia="微软雅黑"/>
          <w:sz w:val="24"/>
        </w:rPr>
        <w:t>三、深度学习与计算机视觉基础</w:t>
      </w:r>
    </w:p>
    <w:p w14:paraId="0E5D2E14">
      <w:pPr>
        <w:pStyle w:val="5"/>
        <w:keepNext/>
      </w:pPr>
      <w:r>
        <w:rPr>
          <w:rFonts w:ascii="微软雅黑" w:hAnsi="微软雅黑" w:eastAsia="微软雅黑"/>
          <w:sz w:val="22"/>
        </w:rPr>
        <w:t>3.1 基础理论</w:t>
      </w:r>
    </w:p>
    <w:p w14:paraId="39D41150">
      <w:pPr>
        <w:pStyle w:val="16"/>
        <w:spacing w:after="60"/>
      </w:pPr>
      <w:r>
        <w:rPr>
          <w:rFonts w:ascii="微软雅黑" w:hAnsi="微软雅黑" w:eastAsia="微软雅黑"/>
          <w:sz w:val="21"/>
        </w:rPr>
        <w:t>深度学习基础：张量操作、自动求导、损失函数、优化器、数值稳定性与模型初始化、权重衰退、Dropout、多种回归与损失函数、非线性激活函数。</w:t>
      </w:r>
    </w:p>
    <w:p w14:paraId="45F37AD2">
      <w:pPr>
        <w:pStyle w:val="16"/>
        <w:spacing w:after="60"/>
      </w:pPr>
      <w:r>
        <w:rPr>
          <w:rFonts w:ascii="微软雅黑" w:hAnsi="微软雅黑" w:eastAsia="微软雅黑"/>
          <w:sz w:val="21"/>
        </w:rPr>
        <w:t>机器学习基础（吴恩达《Machine Learning Specialization》系列）：监督/无监督学习范式、决策树、聚类、异常检测（高斯建模、阈值 ε 的选取、与监督学习的选择标准）。</w:t>
      </w:r>
    </w:p>
    <w:p w14:paraId="6F8F614F">
      <w:pPr>
        <w:pStyle w:val="16"/>
        <w:spacing w:after="60"/>
      </w:pPr>
      <w:r>
        <w:rPr>
          <w:rFonts w:ascii="微软雅黑" w:hAnsi="微软雅黑" w:eastAsia="微软雅黑"/>
          <w:sz w:val="21"/>
        </w:rPr>
        <w:t>机器学习工程方法论：模型诊断基础（偏差-方差分析、学习曲线）、ML 策略与错误分析（迭代改进循环、错误分析、加数据与迁移学习的决策、倾斜数据集的精确率/召回率及其权衡）、模型容量与数据量的权衡、斯坦福实用机器学习（工业界应用视角）。</w:t>
      </w:r>
    </w:p>
    <w:p w14:paraId="06E56857">
      <w:pPr>
        <w:pStyle w:val="16"/>
        <w:spacing w:after="60"/>
      </w:pPr>
      <w:r>
        <w:rPr>
          <w:rFonts w:ascii="微软雅黑" w:hAnsi="微软雅黑" w:eastAsia="微软雅黑"/>
          <w:sz w:val="21"/>
        </w:rPr>
        <w:t>计算与环境基础：CPU/GPU 存储层次与计算性能优化、Conda 环境管理、Python 类型注解。</w:t>
      </w:r>
    </w:p>
    <w:p w14:paraId="3DC06367">
      <w:pPr>
        <w:pStyle w:val="16"/>
        <w:spacing w:after="60"/>
      </w:pPr>
      <w:r>
        <w:rPr>
          <w:rFonts w:ascii="微软雅黑" w:hAnsi="微软雅黑" w:eastAsia="微软雅黑"/>
          <w:sz w:val="21"/>
        </w:rPr>
        <w:t>数据处理：numpy、CSV 等数据操作与预处理。</w:t>
      </w:r>
    </w:p>
    <w:p w14:paraId="66522DC8">
      <w:pPr>
        <w:pStyle w:val="5"/>
        <w:keepNext/>
      </w:pPr>
      <w:r>
        <w:rPr>
          <w:rFonts w:ascii="微软雅黑" w:hAnsi="微软雅黑" w:eastAsia="微软雅黑"/>
          <w:sz w:val="22"/>
        </w:rPr>
        <w:t>3.2 卷积网络与经典架构</w:t>
      </w:r>
    </w:p>
    <w:p w14:paraId="4A325EA5">
      <w:pPr>
        <w:pStyle w:val="16"/>
        <w:spacing w:after="60"/>
      </w:pPr>
      <w:r>
        <w:rPr>
          <w:rFonts w:ascii="微软雅黑" w:hAnsi="微软雅黑" w:eastAsia="微软雅黑"/>
          <w:sz w:val="21"/>
        </w:rPr>
        <w:t>常见网络层：卷积、池化、归一化、转置卷积，理解各层作用与设计动机。</w:t>
      </w:r>
    </w:p>
    <w:p w14:paraId="3FC61B31">
      <w:pPr>
        <w:pStyle w:val="16"/>
        <w:spacing w:after="60"/>
      </w:pPr>
      <w:r>
        <w:rPr>
          <w:rFonts w:ascii="微软雅黑" w:hAnsi="微软雅黑" w:eastAsia="微软雅黑"/>
          <w:sz w:val="21"/>
        </w:rPr>
        <w:t>经典架构：LeNet、AlexNet、VGG、NiN、GoogLeNet、ResNet（含残差连接原理）。</w:t>
      </w:r>
    </w:p>
    <w:p w14:paraId="0F6703B7">
      <w:pPr>
        <w:pStyle w:val="16"/>
        <w:spacing w:after="60"/>
      </w:pPr>
      <w:r>
        <w:rPr>
          <w:rFonts w:ascii="微软雅黑" w:hAnsi="微软雅黑" w:eastAsia="微软雅黑"/>
          <w:sz w:val="21"/>
        </w:rPr>
        <w:t>注意力机制在视觉中的应用：通道注意力机制（CBAM）的原理与作用。</w:t>
      </w:r>
    </w:p>
    <w:p w14:paraId="1A2F711A">
      <w:pPr>
        <w:pStyle w:val="16"/>
        <w:spacing w:after="60"/>
      </w:pPr>
      <w:r>
        <w:rPr>
          <w:rFonts w:ascii="微软雅黑" w:hAnsi="微软雅黑" w:eastAsia="微软雅黑"/>
          <w:sz w:val="21"/>
        </w:rPr>
        <w:t>图像任务扩展：语义分割、实例分割、FCN、数据增强、迁移学习与微调。</w:t>
      </w:r>
    </w:p>
    <w:p w14:paraId="2BEEA396">
      <w:pPr>
        <w:pStyle w:val="5"/>
        <w:keepNext/>
      </w:pPr>
      <w:r>
        <w:rPr>
          <w:rFonts w:ascii="微软雅黑" w:hAnsi="微软雅黑" w:eastAsia="微软雅黑"/>
          <w:sz w:val="22"/>
        </w:rPr>
        <w:t>3.3 目标检测（科研直接相关）</w:t>
      </w:r>
    </w:p>
    <w:p w14:paraId="6FD75ACE">
      <w:pPr>
        <w:pStyle w:val="16"/>
        <w:spacing w:after="60"/>
      </w:pPr>
      <w:r>
        <w:rPr>
          <w:rFonts w:ascii="微软雅黑" w:hAnsi="微软雅黑" w:eastAsia="微软雅黑"/>
          <w:sz w:val="21"/>
        </w:rPr>
        <w:t>两阶段方法：R-CNN 系列的提出思路与演进。</w:t>
      </w:r>
    </w:p>
    <w:p w14:paraId="577CC29D">
      <w:pPr>
        <w:pStyle w:val="16"/>
        <w:spacing w:after="60"/>
      </w:pPr>
      <w:r>
        <w:rPr>
          <w:rFonts w:ascii="微软雅黑" w:hAnsi="微软雅黑" w:eastAsia="微软雅黑"/>
          <w:sz w:val="21"/>
        </w:rPr>
        <w:t>单阶段方法：SSD、YOLO 系列；MMDetection 检测框架的使用。</w:t>
      </w:r>
    </w:p>
    <w:p w14:paraId="59426AC1">
      <w:pPr>
        <w:pStyle w:val="16"/>
        <w:spacing w:after="60"/>
      </w:pPr>
      <w:r>
        <w:rPr>
          <w:rFonts w:ascii="微软雅黑" w:hAnsi="微软雅黑" w:eastAsia="微软雅黑"/>
          <w:sz w:val="21"/>
        </w:rPr>
        <w:t>核心概念：锚框、IoU、NMS。</w:t>
      </w:r>
    </w:p>
    <w:p w14:paraId="14F8CCEE">
      <w:pPr>
        <w:pStyle w:val="16"/>
        <w:spacing w:after="60"/>
      </w:pPr>
      <w:r>
        <w:rPr>
          <w:rFonts w:ascii="微软雅黑" w:hAnsi="微软雅黑" w:eastAsia="微软雅黑"/>
          <w:sz w:val="21"/>
        </w:rPr>
        <w:t>评价指标：Precision、Recall、F1、AP、mAP@0.5、mAP@0.5:0.95，理解各指标适用场景。</w:t>
      </w:r>
    </w:p>
    <w:p w14:paraId="31F690BC">
      <w:pPr>
        <w:pStyle w:val="16"/>
        <w:spacing w:after="60"/>
      </w:pPr>
      <w:r>
        <w:rPr>
          <w:rFonts w:ascii="微软雅黑" w:hAnsi="微软雅黑" w:eastAsia="微软雅黑"/>
          <w:sz w:val="21"/>
        </w:rPr>
        <w:t>结合科研方向补充学习：分布偏移、多域学习、领域泛化、无监督域自适应；精读 DANN 论文，理解域对抗训练的原理与适用场景。</w:t>
      </w:r>
    </w:p>
    <w:p w14:paraId="15BF3877">
      <w:pPr>
        <w:pStyle w:val="5"/>
        <w:keepNext/>
      </w:pPr>
      <w:r>
        <w:rPr>
          <w:rFonts w:ascii="微软雅黑" w:hAnsi="微软雅黑" w:eastAsia="微软雅黑"/>
          <w:sz w:val="22"/>
        </w:rPr>
        <w:t>3.4 序列模型与前沿论文</w:t>
      </w:r>
    </w:p>
    <w:p w14:paraId="405149BE">
      <w:pPr>
        <w:pStyle w:val="16"/>
        <w:spacing w:after="60"/>
      </w:pPr>
      <w:r>
        <w:rPr>
          <w:rFonts w:ascii="微软雅黑" w:hAnsi="微软雅黑" w:eastAsia="微软雅黑"/>
          <w:sz w:val="21"/>
        </w:rPr>
        <w:t>序列模型：RNN、GRU、LSTM、编码器-解码器结构、注意力机制与 Transformer。</w:t>
      </w:r>
    </w:p>
    <w:p w14:paraId="3808BABD">
      <w:pPr>
        <w:pStyle w:val="16"/>
        <w:spacing w:after="60"/>
      </w:pPr>
      <w:r>
        <w:rPr>
          <w:rFonts w:ascii="微软雅黑" w:hAnsi="微软雅黑" w:eastAsia="微软雅黑"/>
          <w:sz w:val="21"/>
        </w:rPr>
        <w:t>阅读论文：Transformer、Mamba（状态空间模型）、BERT 等，作为后续多模态与时序建模方向的储备。</w:t>
      </w:r>
    </w:p>
    <w:p w14:paraId="1B22DDD6">
      <w:pPr>
        <w:pStyle w:val="5"/>
        <w:keepNext/>
      </w:pPr>
      <w:r>
        <w:rPr>
          <w:rFonts w:ascii="微软雅黑" w:hAnsi="微软雅黑" w:eastAsia="微软雅黑"/>
          <w:sz w:val="22"/>
        </w:rPr>
        <w:t>3.5 实践练习</w:t>
      </w:r>
    </w:p>
    <w:p w14:paraId="5968B84F">
      <w:pPr>
        <w:pStyle w:val="19"/>
        <w:spacing w:after="80" w:line="283" w:lineRule="auto"/>
      </w:pPr>
      <w:r>
        <w:rPr>
          <w:rFonts w:ascii="微软雅黑" w:hAnsi="微软雅黑" w:eastAsia="微软雅黑"/>
          <w:sz w:val="21"/>
        </w:rPr>
        <w:t>依托《动手学深度学习》课程完成以下训练实践：</w:t>
      </w:r>
    </w:p>
    <w:p w14:paraId="5D7FFE94">
      <w:pPr>
        <w:pStyle w:val="16"/>
        <w:spacing w:after="60"/>
      </w:pPr>
      <w:r>
        <w:rPr>
          <w:rFonts w:ascii="微软雅黑" w:hAnsi="微软雅黑" w:eastAsia="微软雅黑"/>
          <w:sz w:val="21"/>
        </w:rPr>
        <w:t>房价预测模型（回归任务）</w:t>
      </w:r>
    </w:p>
    <w:p w14:paraId="4547993E">
      <w:pPr>
        <w:pStyle w:val="16"/>
        <w:spacing w:after="60"/>
      </w:pPr>
      <w:r>
        <w:rPr>
          <w:rFonts w:ascii="微软雅黑" w:hAnsi="微软雅黑" w:eastAsia="微软雅黑"/>
          <w:sz w:val="21"/>
        </w:rPr>
        <w:t>图片分类模型（CNN 分类）</w:t>
      </w:r>
    </w:p>
    <w:p w14:paraId="03E78B05">
      <w:pPr>
        <w:pStyle w:val="16"/>
        <w:spacing w:after="60"/>
      </w:pPr>
      <w:r>
        <w:rPr>
          <w:rFonts w:ascii="微软雅黑" w:hAnsi="微软雅黑" w:eastAsia="微软雅黑"/>
          <w:sz w:val="21"/>
        </w:rPr>
        <w:t>YOLO 目标检测模型训练</w:t>
      </w:r>
    </w:p>
    <w:p w14:paraId="074F9FF1">
      <w:pPr>
        <w:pStyle w:val="16"/>
        <w:spacing w:after="60"/>
      </w:pPr>
      <w:r>
        <w:rPr>
          <w:rFonts w:ascii="微软雅黑" w:hAnsi="微软雅黑" w:eastAsia="微软雅黑"/>
          <w:sz w:val="21"/>
        </w:rPr>
        <w:t>简单 Transformer 翻译模型（序列到序列）</w:t>
      </w:r>
    </w:p>
    <w:p w14:paraId="2478868F">
      <w:pPr>
        <w:pStyle w:val="4"/>
        <w:keepNext/>
      </w:pPr>
      <w:r>
        <w:rPr>
          <w:rFonts w:ascii="微软雅黑" w:hAnsi="微软雅黑" w:eastAsia="微软雅黑"/>
          <w:sz w:val="24"/>
        </w:rPr>
        <w:t>四、科研工作：牛只目标检测数据集</w:t>
      </w:r>
    </w:p>
    <w:p w14:paraId="7B10B83E">
      <w:pPr>
        <w:pStyle w:val="19"/>
        <w:spacing w:after="80" w:line="283" w:lineRule="auto"/>
      </w:pPr>
      <w:r>
        <w:rPr>
          <w:rFonts w:ascii="微软雅黑" w:hAnsi="微软雅黑" w:eastAsia="微软雅黑"/>
          <w:sz w:val="21"/>
        </w:rPr>
        <w:t>围绕牛只目标检测构建统一数据资源与 benchmark，为智慧畜牧视觉任务提供可复用的数据基础。工作分为五个方面：</w:t>
      </w:r>
    </w:p>
    <w:p w14:paraId="6A6FDBD2">
      <w:pPr>
        <w:pStyle w:val="5"/>
        <w:keepNext/>
      </w:pPr>
      <w:r>
        <w:rPr>
          <w:rFonts w:ascii="微软雅黑" w:hAnsi="微软雅黑" w:eastAsia="微软雅黑"/>
          <w:sz w:val="22"/>
        </w:rPr>
        <w:t>4.1 数据集调研与整理</w:t>
      </w:r>
    </w:p>
    <w:p w14:paraId="790761DF">
      <w:pPr>
        <w:pStyle w:val="19"/>
        <w:spacing w:after="80" w:line="283" w:lineRule="auto"/>
      </w:pPr>
      <w:r>
        <w:rPr>
          <w:rFonts w:ascii="微软雅黑" w:hAnsi="微软雅黑" w:eastAsia="微软雅黑"/>
          <w:sz w:val="21"/>
        </w:rPr>
        <w:t>系统调研了牛只检测、识别、姿态、行为相关的二十余个公开数据集，区分有标注与无标注两类逐一登记整理，并重点引入多个在场景上互补的新数据集（室内犊牛、户外牧场俯拍、多角度多光照、鱼眼俯拍等），使数据覆盖室内、室外、鱼眼、红外、多光照、开放网络图像等多种视觉域，为跨域泛化实验打下基础。</w:t>
      </w:r>
    </w:p>
    <w:p w14:paraId="1563BD86">
      <w:pPr>
        <w:pStyle w:val="5"/>
        <w:keepNext/>
      </w:pPr>
      <w:r>
        <w:rPr>
          <w:rFonts w:ascii="微软雅黑" w:hAnsi="微软雅黑" w:eastAsia="微软雅黑"/>
          <w:sz w:val="22"/>
        </w:rPr>
        <w:t>4.2 标注工作</w:t>
      </w:r>
    </w:p>
    <w:p w14:paraId="69325EF1">
      <w:pPr>
        <w:pStyle w:val="19"/>
        <w:spacing w:after="80" w:line="283" w:lineRule="auto"/>
      </w:pPr>
      <w:r>
        <w:rPr>
          <w:rFonts w:ascii="微软雅黑" w:hAnsi="微软雅黑" w:eastAsia="微软雅黑"/>
          <w:sz w:val="21"/>
        </w:rPr>
        <w:t>与师兄合作完成数据集标注：无标注数据先模型预标注、再人工复查修正；已有标注数据则将 VOC、COCO、CSV、CVAT 等多种原始格式统一转换为 YOLO 格式并复查。在实验室服务器上部署和维护 Label Studio 标注平台支撑整个流程。过程中积累了标注质检经验，能够通过自训练验证区分"标注质量问题"与"域差异导致的低分"。</w:t>
      </w:r>
    </w:p>
    <w:p w14:paraId="706C4484">
      <w:pPr>
        <w:pStyle w:val="5"/>
        <w:keepNext/>
      </w:pPr>
      <w:r>
        <w:rPr>
          <w:rFonts w:ascii="微软雅黑" w:hAnsi="微软雅黑" w:eastAsia="微软雅黑"/>
          <w:sz w:val="22"/>
        </w:rPr>
        <w:t>4.3 Benchmark 实验</w:t>
      </w:r>
    </w:p>
    <w:p w14:paraId="39A15CF9">
      <w:pPr>
        <w:pStyle w:val="19"/>
        <w:spacing w:after="80" w:line="283" w:lineRule="auto"/>
      </w:pPr>
      <w:r>
        <w:rPr>
          <w:rFonts w:ascii="微软雅黑" w:hAnsi="微软雅黑" w:eastAsia="微软雅黑"/>
          <w:b/>
          <w:sz w:val="21"/>
        </w:rPr>
        <w:t>研究定位</w:t>
      </w:r>
      <w:r>
        <w:rPr>
          <w:rFonts w:ascii="微软雅黑" w:hAnsi="微软雅黑" w:eastAsia="微软雅黑"/>
          <w:sz w:val="21"/>
        </w:rPr>
        <w:t>：Benchmark 的核心不是建立"跨域泛化能力最强的模型"排行榜，而是构建统一牛只检测任务下的</w:t>
      </w:r>
      <w:r>
        <w:rPr>
          <w:rFonts w:ascii="微软雅黑" w:hAnsi="微软雅黑" w:eastAsia="微软雅黑"/>
          <w:b/>
          <w:sz w:val="21"/>
        </w:rPr>
        <w:t>数据集跨域等测试基准</w:t>
      </w:r>
      <w:r>
        <w:rPr>
          <w:rFonts w:ascii="微软雅黑" w:hAnsi="微软雅黑" w:eastAsia="微软雅黑"/>
          <w:sz w:val="21"/>
        </w:rPr>
        <w:t>，分析数据集之间的有向迁移关系。实验中固定 YOLO11m 作为统一测量器；模型比较实验仅用于域内检测精度、收敛速度与部署成本的对比，不扩展为模型在未见数据集上的泛化排名。</w:t>
      </w:r>
    </w:p>
    <w:p w14:paraId="09F83A8F">
      <w:pPr>
        <w:pStyle w:val="19"/>
        <w:spacing w:after="80" w:line="283" w:lineRule="auto"/>
      </w:pPr>
      <w:r>
        <w:rPr>
          <w:rFonts w:ascii="微软雅黑" w:hAnsi="微软雅黑" w:eastAsia="微软雅黑"/>
          <w:b/>
          <w:sz w:val="21"/>
        </w:rPr>
        <w:t>实验主线</w:t>
      </w:r>
      <w:r>
        <w:rPr>
          <w:rFonts w:ascii="微软雅黑" w:hAnsi="微软雅黑" w:eastAsia="微软雅黑"/>
          <w:sz w:val="21"/>
        </w:rPr>
        <w:t>：统一数据与评估协议 → 域内模型与效率基准 → 固定检测器的 14×14 数据集有向迁移 → 视角/背景/光照等因素分层与双向迁移 → 数据集迁移亲和性分析。</w:t>
      </w:r>
    </w:p>
    <w:p w14:paraId="6A5B906D">
      <w:pPr>
        <w:pStyle w:val="19"/>
        <w:spacing w:after="80" w:line="283" w:lineRule="auto"/>
      </w:pPr>
      <w:r>
        <w:rPr>
          <w:rFonts w:ascii="微软雅黑" w:hAnsi="微软雅黑" w:eastAsia="微软雅黑"/>
          <w:sz w:val="21"/>
        </w:rPr>
        <w:t>按三级实验组织：</w:t>
      </w:r>
    </w:p>
    <w:p w14:paraId="59FE8C41">
      <w:pPr>
        <w:pStyle w:val="19"/>
        <w:spacing w:after="80"/>
        <w:ind w:left="403" w:hanging="403"/>
      </w:pPr>
      <w:r>
        <w:rPr>
          <w:rFonts w:ascii="微软雅黑" w:hAnsi="微软雅黑" w:eastAsia="微软雅黑"/>
          <w:sz w:val="21"/>
        </w:rPr>
        <w:t xml:space="preserve">1.  </w:t>
      </w:r>
      <w:r>
        <w:rPr>
          <w:rFonts w:ascii="微软雅黑" w:hAnsi="微软雅黑" w:eastAsia="微软雅黑"/>
          <w:b/>
          <w:sz w:val="21"/>
        </w:rPr>
        <w:t>一级实验——域内检测基准</w:t>
      </w:r>
      <w:r>
        <w:rPr>
          <w:rFonts w:ascii="微软雅黑" w:hAnsi="微软雅黑" w:eastAsia="微软雅黑"/>
          <w:sz w:val="21"/>
        </w:rPr>
        <w:t>：开展"模型 × 数据集"的域内实验，候选模型覆盖单阶段（YOLO11s/m/l、RetinaNet）、端到端 Transformer（RT-DETR-L）与两阶段（Faster R-CNN）三种检测范式，统一数据版本、划分、训练预算、checkpoint 选择规则与评估器，报告 Precision、Recall、F1、mAP@0.5、mAP@0.5:0.95，并对 14 个数据集做等权宏平均。同时建立效率指标表（参数量、FLOPs、推理延迟/FPS、显存、收敛速度等），最终以域内精度-效率 Pareto 前沿总结模型选择，形成"精度最优 / 收敛效率最优 / 资源约束下部署最优"三类结论，而非单一总排名。</w:t>
      </w:r>
    </w:p>
    <w:p w14:paraId="2D6DD0FC">
      <w:pPr>
        <w:pStyle w:val="19"/>
        <w:spacing w:after="80"/>
        <w:ind w:left="403" w:hanging="403"/>
      </w:pPr>
      <w:r>
        <w:rPr>
          <w:rFonts w:ascii="微软雅黑" w:hAnsi="微软雅黑" w:eastAsia="微软雅黑"/>
          <w:sz w:val="21"/>
        </w:rPr>
        <w:t xml:space="preserve">2.  </w:t>
      </w:r>
      <w:r>
        <w:rPr>
          <w:rFonts w:ascii="微软雅黑" w:hAnsi="微软雅黑" w:eastAsia="微软雅黑"/>
          <w:b/>
          <w:sz w:val="21"/>
        </w:rPr>
        <w:t>二级实验——单源跨数据集有向迁移（核心）</w:t>
      </w:r>
      <w:r>
        <w:rPr>
          <w:rFonts w:ascii="微软雅黑" w:hAnsi="微软雅黑" w:eastAsia="微软雅黑"/>
          <w:sz w:val="21"/>
        </w:rPr>
        <w:t xml:space="preserve">：固定 YOLO11m，对每个源数据集独立训练模型，直接在其他目标数据集的冻结评测视图上测试，建立 </w:t>
      </w:r>
      <w:r>
        <w:rPr>
          <w:rFonts w:ascii="微软雅黑" w:hAnsi="微软雅黑" w:eastAsia="微软雅黑"/>
          <w:b/>
          <w:sz w:val="21"/>
        </w:rPr>
        <w:t>14×14 数据集有向迁移矩阵</w:t>
      </w:r>
      <w:r>
        <w:rPr>
          <w:rFonts w:ascii="微软雅黑" w:hAnsi="微软雅黑" w:eastAsia="微软雅黑"/>
          <w:sz w:val="21"/>
        </w:rPr>
        <w:t>：对角线为域内参照，非对角线为不使用目标域训练信息的单源直接迁移。配套定义绝对迁移差距、相对迁移下降、源域/目标域归一化保持率与迁移方向不对称性等指标，按宏平均 + 最差目标域汇总。该矩阵刻画的是协议性迁移表现，不解读为与模型无关的固有数据集距离。</w:t>
      </w:r>
    </w:p>
    <w:p w14:paraId="06CBDBF6">
      <w:pPr>
        <w:pStyle w:val="19"/>
        <w:spacing w:after="80"/>
        <w:ind w:left="403" w:hanging="403"/>
      </w:pPr>
      <w:r>
        <w:rPr>
          <w:rFonts w:ascii="微软雅黑" w:hAnsi="微软雅黑" w:eastAsia="微软雅黑"/>
          <w:sz w:val="21"/>
        </w:rPr>
        <w:t xml:space="preserve">3.  </w:t>
      </w:r>
      <w:r>
        <w:rPr>
          <w:rFonts w:ascii="微软雅黑" w:hAnsi="微软雅黑" w:eastAsia="微软雅黑"/>
          <w:b/>
          <w:sz w:val="21"/>
        </w:rPr>
        <w:t>三级实验——因素迁移分析</w:t>
      </w:r>
      <w:r>
        <w:rPr>
          <w:rFonts w:ascii="微软雅黑" w:hAnsi="微软雅黑" w:eastAsia="微软雅黑"/>
          <w:sz w:val="21"/>
        </w:rPr>
        <w:t>：基于多标签因素体系（视角、光照/成像、场景、背景、密度、遮挡）开展因素分层评估与受控双向迁移（如顶视↔侧视、白天↔夜间、RGB↔红外、室内↔半开放牛场），解释数据集间迁移差异与哪些视觉因素共同出现；对多因素同时变化的迁移标记为"混合因素"，不做单因素因果结论。</w:t>
      </w:r>
    </w:p>
    <w:p w14:paraId="31379135">
      <w:pPr>
        <w:pStyle w:val="19"/>
        <w:spacing w:after="80" w:line="283" w:lineRule="auto"/>
      </w:pPr>
      <w:r>
        <w:rPr>
          <w:rFonts w:ascii="微软雅黑" w:hAnsi="微软雅黑" w:eastAsia="微软雅黑"/>
          <w:b/>
          <w:sz w:val="21"/>
        </w:rPr>
        <w:t>当前进展</w:t>
      </w:r>
      <w:r>
        <w:rPr>
          <w:rFonts w:ascii="微软雅黑" w:hAnsi="微软雅黑" w:eastAsia="微软雅黑"/>
          <w:sz w:val="21"/>
        </w:rPr>
        <w:t>：已按统一协议完成 YOLO11m 与 RT-DETR-L 共 28 组单数据集域内基线训练；完成 20 个数据集的视觉域审核并建立多维度域标签体系；14×14 迁移矩阵与因素分层实验正在按"统一协议 → 模型基准 → 有向迁移 → 因素分析"的优先级推进。域自适应（UDA）、多源留一域泛化与模型跨域泛化比较不列入本轮主实验，作为补充实验或未来工作保留。</w:t>
      </w:r>
    </w:p>
    <w:p w14:paraId="7ADFECBC">
      <w:pPr>
        <w:pStyle w:val="5"/>
        <w:keepNext/>
      </w:pPr>
      <w:r>
        <w:rPr>
          <w:rFonts w:ascii="微软雅黑" w:hAnsi="微软雅黑" w:eastAsia="微软雅黑"/>
          <w:sz w:val="22"/>
        </w:rPr>
        <w:t>4.4 CowCV 数据平台建设</w:t>
      </w:r>
    </w:p>
    <w:p w14:paraId="191E55FF">
      <w:pPr>
        <w:pStyle w:val="19"/>
        <w:spacing w:after="80" w:line="283" w:lineRule="auto"/>
      </w:pPr>
      <w:r>
        <w:rPr>
          <w:rFonts w:ascii="微软雅黑" w:hAnsi="微软雅黑" w:eastAsia="微软雅黑"/>
          <w:sz w:val="21"/>
        </w:rPr>
        <w:t>开发面向牛只视觉数据的统一资源库网站，支持数据检索、样本浏览、元信息管理与下载申请。采用 FastAPI + React 技术栈，完成前后端配置改造与部署问题修复，Docker 镜像打包与本地部署验证均已通过，具备真实环境部署条件。</w:t>
      </w:r>
    </w:p>
    <w:p w14:paraId="29CD475C">
      <w:pPr>
        <w:pStyle w:val="5"/>
        <w:keepNext/>
      </w:pPr>
      <w:r>
        <w:rPr>
          <w:rFonts w:ascii="微软雅黑" w:hAnsi="微软雅黑" w:eastAsia="微软雅黑"/>
          <w:sz w:val="22"/>
        </w:rPr>
        <w:t>4.5 论文准备</w:t>
      </w:r>
    </w:p>
    <w:p w14:paraId="4ED1D75E">
      <w:pPr>
        <w:pStyle w:val="19"/>
        <w:spacing w:after="80" w:line="283" w:lineRule="auto"/>
      </w:pPr>
      <w:r>
        <w:rPr>
          <w:rFonts w:ascii="微软雅黑" w:hAnsi="微软雅黑" w:eastAsia="微软雅黑"/>
          <w:sz w:val="21"/>
        </w:rPr>
        <w:t>完成数据集论文大纲初稿（背景、数据集介绍、拍摄环境、benchmark、平台介绍、未来工作），精读 AgriVision、BECA、HBID24K 等同类数据集论文，明确对标写法与差异化定位。</w:t>
      </w:r>
    </w:p>
    <w:p w14:paraId="1FB71BBE">
      <w:pPr>
        <w:pStyle w:val="4"/>
        <w:keepNext/>
      </w:pPr>
      <w:r>
        <w:rPr>
          <w:rFonts w:ascii="微软雅黑" w:hAnsi="微软雅黑" w:eastAsia="微软雅黑"/>
          <w:sz w:val="24"/>
        </w:rPr>
        <w:t>五、工程与工具能力</w:t>
      </w:r>
    </w:p>
    <w:p w14:paraId="3D18F81E">
      <w:pPr>
        <w:pStyle w:val="16"/>
        <w:spacing w:after="60"/>
      </w:pPr>
      <w:r>
        <w:rPr>
          <w:rFonts w:ascii="微软雅黑" w:hAnsi="微软雅黑" w:eastAsia="微软雅黑"/>
          <w:b/>
          <w:sz w:val="21"/>
        </w:rPr>
        <w:t>深度学习框架</w:t>
      </w:r>
      <w:r>
        <w:rPr>
          <w:rFonts w:ascii="微软雅黑" w:hAnsi="微软雅黑" w:eastAsia="微软雅黑"/>
          <w:sz w:val="21"/>
        </w:rPr>
        <w:t>：PyTorch（Dataset、DataLoader、torch.nn、优化器、GPU 训练、模型保存加载）、Torchvision（预训练模型、图像变换、微调）、Ultralytics（YOLO 训练/验证/预测/导出/追踪、数据集 YAML 配置、训练指标读取）、MMDetection。</w:t>
      </w:r>
    </w:p>
    <w:p w14:paraId="6FA8B27D">
      <w:pPr>
        <w:pStyle w:val="16"/>
        <w:spacing w:after="60"/>
      </w:pPr>
      <w:r>
        <w:rPr>
          <w:rFonts w:ascii="微软雅黑" w:hAnsi="微软雅黑" w:eastAsia="微软雅黑"/>
          <w:b/>
          <w:sz w:val="21"/>
        </w:rPr>
        <w:t>实验平台</w:t>
      </w:r>
      <w:r>
        <w:rPr>
          <w:rFonts w:ascii="微软雅黑" w:hAnsi="微软雅黑" w:eastAsia="微软雅黑"/>
          <w:sz w:val="21"/>
        </w:rPr>
        <w:t>：学会超算集群与远程 GPU 服务器（AutoDL RTX 4090D、实验室 A100 服务器）的使用，能处理 batch、显存、预训练权重缓存、</w:t>
      </w:r>
      <w:r>
        <w:rPr>
          <w:rFonts w:ascii="Consolas" w:hAnsi="Consolas" w:eastAsia="Consolas"/>
          <w:color w:val="373737"/>
          <w:sz w:val="20"/>
        </w:rPr>
        <w:t>amp=False</w:t>
      </w:r>
      <w:r>
        <w:rPr>
          <w:rFonts w:ascii="微软雅黑" w:hAnsi="微软雅黑" w:eastAsia="微软雅黑"/>
          <w:sz w:val="21"/>
        </w:rPr>
        <w:t xml:space="preserve"> 等实际训练问题，以及长时间串行训练的断点恢复（从 </w:t>
      </w:r>
      <w:r>
        <w:rPr>
          <w:rFonts w:ascii="Consolas" w:hAnsi="Consolas" w:eastAsia="Consolas"/>
          <w:color w:val="373737"/>
          <w:sz w:val="20"/>
        </w:rPr>
        <w:t>last.pt</w:t>
      </w:r>
      <w:r>
        <w:rPr>
          <w:rFonts w:ascii="微软雅黑" w:hAnsi="微软雅黑" w:eastAsia="微软雅黑"/>
          <w:sz w:val="21"/>
        </w:rPr>
        <w:t xml:space="preserve"> 续训）。</w:t>
      </w:r>
    </w:p>
    <w:p w14:paraId="7DA0384B">
      <w:pPr>
        <w:pStyle w:val="16"/>
        <w:spacing w:after="60"/>
      </w:pPr>
      <w:r>
        <w:rPr>
          <w:rFonts w:ascii="微软雅黑" w:hAnsi="微软雅黑" w:eastAsia="微软雅黑"/>
          <w:b/>
          <w:sz w:val="21"/>
        </w:rPr>
        <w:t>后端开发</w:t>
      </w:r>
      <w:r>
        <w:rPr>
          <w:rFonts w:ascii="微软雅黑" w:hAnsi="微软雅黑" w:eastAsia="微软雅黑"/>
          <w:sz w:val="21"/>
        </w:rPr>
        <w:t>：FastAPI、ORM、SQL 操作、MySQL。</w:t>
      </w:r>
    </w:p>
    <w:p w14:paraId="5EA76737">
      <w:pPr>
        <w:pStyle w:val="16"/>
        <w:spacing w:after="60"/>
      </w:pPr>
      <w:r>
        <w:rPr>
          <w:rFonts w:ascii="微软雅黑" w:hAnsi="微软雅黑" w:eastAsia="微软雅黑"/>
          <w:b/>
          <w:sz w:val="21"/>
        </w:rPr>
        <w:t>前端开发</w:t>
      </w:r>
      <w:r>
        <w:rPr>
          <w:rFonts w:ascii="微软雅黑" w:hAnsi="微软雅黑" w:eastAsia="微软雅黑"/>
          <w:sz w:val="21"/>
        </w:rPr>
        <w:t>：React、Vite、JavaScript、Node。</w:t>
      </w:r>
    </w:p>
    <w:p w14:paraId="5B7D64D9">
      <w:pPr>
        <w:pStyle w:val="16"/>
        <w:spacing w:after="60"/>
      </w:pPr>
      <w:r>
        <w:rPr>
          <w:rFonts w:ascii="微软雅黑" w:hAnsi="微软雅黑" w:eastAsia="微软雅黑"/>
          <w:b/>
          <w:sz w:val="21"/>
        </w:rPr>
        <w:t>部署运维</w:t>
      </w:r>
      <w:r>
        <w:rPr>
          <w:rFonts w:ascii="微软雅黑" w:hAnsi="微软雅黑" w:eastAsia="微软雅黑"/>
          <w:sz w:val="21"/>
        </w:rPr>
        <w:t>：Docker 镜像构建与 Compose 编排、Linux 服务器使用、WSL、Shell 脚本、SSH 免密配置、Git 版本管理。</w:t>
      </w:r>
    </w:p>
    <w:p w14:paraId="5AC26A45">
      <w:pPr>
        <w:pStyle w:val="16"/>
        <w:spacing w:after="60"/>
      </w:pPr>
      <w:r>
        <w:rPr>
          <w:rFonts w:ascii="微软雅黑" w:hAnsi="微软雅黑" w:eastAsia="微软雅黑"/>
          <w:b/>
          <w:sz w:val="21"/>
        </w:rPr>
        <w:t>数据库</w:t>
      </w:r>
      <w:r>
        <w:rPr>
          <w:rFonts w:ascii="微软雅黑" w:hAnsi="微软雅黑" w:eastAsia="微软雅黑"/>
          <w:sz w:val="21"/>
        </w:rPr>
        <w:t>：MySQL、SQLite、Qdrant 向量数据库。</w:t>
      </w:r>
    </w:p>
    <w:p w14:paraId="58A13F71">
      <w:pPr>
        <w:pStyle w:val="16"/>
        <w:spacing w:after="60"/>
      </w:pPr>
      <w:r>
        <w:rPr>
          <w:rFonts w:ascii="微软雅黑" w:hAnsi="微软雅黑" w:eastAsia="微软雅黑"/>
          <w:b/>
          <w:sz w:val="21"/>
        </w:rPr>
        <w:t>数据处理与硬件</w:t>
      </w:r>
      <w:r>
        <w:rPr>
          <w:rFonts w:ascii="微软雅黑" w:hAnsi="微软雅黑" w:eastAsia="微软雅黑"/>
          <w:sz w:val="21"/>
        </w:rPr>
        <w:t>：OpenCV、numpy、CSV；Femto Bolt 深度相机的使用。</w:t>
      </w:r>
    </w:p>
    <w:p w14:paraId="76647A0E">
      <w:pPr>
        <w:pStyle w:val="16"/>
        <w:spacing w:after="60"/>
      </w:pPr>
      <w:r>
        <w:rPr>
          <w:rFonts w:ascii="微软雅黑" w:hAnsi="微软雅黑" w:eastAsia="微软雅黑"/>
          <w:b/>
          <w:sz w:val="21"/>
        </w:rPr>
        <w:t>标注平台</w:t>
      </w:r>
      <w:r>
        <w:rPr>
          <w:rFonts w:ascii="微软雅黑" w:hAnsi="微软雅黑" w:eastAsia="微软雅黑"/>
          <w:sz w:val="21"/>
        </w:rPr>
        <w:t>：Label Studio 的部署、图片导入、预标注导入、数据查询清理与导出转换（YOLO 格式）。</w:t>
      </w:r>
    </w:p>
    <w:p w14:paraId="6C1AC512">
      <w:pPr>
        <w:pStyle w:val="16"/>
        <w:spacing w:after="60"/>
      </w:pPr>
      <w:r>
        <w:rPr>
          <w:rFonts w:ascii="微软雅黑" w:hAnsi="微软雅黑" w:eastAsia="微软雅黑"/>
          <w:b/>
          <w:sz w:val="21"/>
        </w:rPr>
        <w:t>AI 辅助工具</w:t>
      </w:r>
      <w:r>
        <w:rPr>
          <w:rFonts w:ascii="微软雅黑" w:hAnsi="微软雅黑" w:eastAsia="微软雅黑"/>
          <w:sz w:val="21"/>
        </w:rPr>
        <w:t>：Claude Code、GitHub Copilot 的使用与工作流沉淀。</w:t>
      </w:r>
    </w:p>
    <w:p w14:paraId="0086A163">
      <w:pPr>
        <w:pStyle w:val="4"/>
        <w:keepNext/>
      </w:pPr>
      <w:r>
        <w:rPr>
          <w:rFonts w:ascii="微软雅黑" w:hAnsi="微软雅黑" w:eastAsia="微软雅黑"/>
          <w:sz w:val="24"/>
        </w:rPr>
        <w:t>六、不足与反思</w:t>
      </w:r>
    </w:p>
    <w:p w14:paraId="2B84D893">
      <w:pPr>
        <w:pStyle w:val="16"/>
        <w:spacing w:after="60"/>
      </w:pPr>
      <w:r>
        <w:rPr>
          <w:rFonts w:ascii="微软雅黑" w:hAnsi="微软雅黑" w:eastAsia="微软雅黑"/>
          <w:sz w:val="21"/>
        </w:rPr>
        <w:t>数据域覆盖仍不充分：开放网络图像、复杂野外场景、夜间低照度、不同品种与设备的数据仍需补充；CBVD-5 存在系统性漏标，需全面复核。</w:t>
      </w:r>
    </w:p>
    <w:p w14:paraId="66A0AA80">
      <w:pPr>
        <w:pStyle w:val="16"/>
        <w:spacing w:after="60"/>
      </w:pPr>
      <w:r>
        <w:rPr>
          <w:rFonts w:ascii="微软雅黑" w:hAnsi="微软雅黑" w:eastAsia="微软雅黑"/>
          <w:sz w:val="21"/>
        </w:rPr>
        <w:t>Benchmark 跨域部分仍在推进：Cows2021 单源零样本实验与 14 × 14 完整跨数据集矩阵尚未完成，LODO（留一域）评测、数据集贡献度与亲缘性分析待开展。</w:t>
      </w:r>
    </w:p>
    <w:p w14:paraId="6C504CE9">
      <w:pPr>
        <w:pStyle w:val="16"/>
        <w:spacing w:after="60"/>
      </w:pPr>
      <w:r>
        <w:rPr>
          <w:rFonts w:ascii="微软雅黑" w:hAnsi="微软雅黑" w:eastAsia="微软雅黑"/>
          <w:sz w:val="21"/>
        </w:rPr>
        <w:t>现有比较基于验证集峰值指标，尚需在统一冻结的独立 test 集上做正式的模型间比较。</w:t>
      </w:r>
    </w:p>
    <w:p w14:paraId="75B5518C">
      <w:pPr>
        <w:pStyle w:val="16"/>
        <w:spacing w:after="60"/>
      </w:pPr>
      <w:r>
        <w:rPr>
          <w:rFonts w:ascii="微软雅黑" w:hAnsi="微软雅黑" w:eastAsia="微软雅黑"/>
          <w:sz w:val="21"/>
        </w:rPr>
        <w:t>平台尚未完成真实环境部署（公网访问、域名、反向代理、下载流程验证）。</w:t>
      </w:r>
    </w:p>
    <w:p w14:paraId="04EA3ACD">
      <w:pPr>
        <w:pStyle w:val="4"/>
        <w:keepNext/>
      </w:pPr>
      <w:r>
        <w:rPr>
          <w:rFonts w:ascii="微软雅黑" w:hAnsi="微软雅黑" w:eastAsia="微软雅黑"/>
          <w:sz w:val="24"/>
        </w:rPr>
        <w:t>七、下半年计划</w:t>
      </w:r>
    </w:p>
    <w:p w14:paraId="008E7A21">
      <w:pPr>
        <w:pStyle w:val="16"/>
        <w:spacing w:after="60"/>
      </w:pPr>
      <w:r>
        <w:rPr>
          <w:rFonts w:ascii="微软雅黑" w:hAnsi="微软雅黑" w:eastAsia="微软雅黑"/>
          <w:sz w:val="21"/>
        </w:rPr>
        <w:t>完成 Cows2021 单源零样本跨域测试，扩展为 14 × 14 跨数据集评估矩阵，比较自测与跨域性能下降。</w:t>
      </w:r>
    </w:p>
    <w:p w14:paraId="6F511A7C">
      <w:pPr>
        <w:pStyle w:val="16"/>
        <w:spacing w:after="60"/>
      </w:pPr>
      <w:r>
        <w:rPr>
          <w:rFonts w:ascii="微软雅黑" w:hAnsi="微软雅黑" w:eastAsia="微软雅黑"/>
          <w:sz w:val="21"/>
        </w:rPr>
        <w:t>为尚无独立 test 的数据集冻结测试集合，在统一 test 集与跨数据集协议下正式比较 YOLO11m 与 RT-DETR-L。</w:t>
      </w:r>
    </w:p>
    <w:p w14:paraId="13D5085E">
      <w:pPr>
        <w:pStyle w:val="16"/>
        <w:spacing w:after="60"/>
      </w:pPr>
      <w:r>
        <w:rPr>
          <w:rFonts w:ascii="微软雅黑" w:hAnsi="微软雅黑" w:eastAsia="微软雅黑"/>
          <w:sz w:val="21"/>
        </w:rPr>
        <w:t>完成 CowCV 网站真实部署，修正媒体目录挂载与数据下载流程。</w:t>
      </w:r>
    </w:p>
    <w:p w14:paraId="6E58CBF0">
      <w:pPr>
        <w:pStyle w:val="16"/>
        <w:spacing w:after="60"/>
      </w:pPr>
      <w:r>
        <w:rPr>
          <w:rFonts w:ascii="微软雅黑" w:hAnsi="微软雅黑" w:eastAsia="微软雅黑"/>
          <w:sz w:val="21"/>
        </w:rPr>
        <w:t>将已有实验结果整理为论文可用图表，推进数据集论文撰写与投稿。</w:t>
      </w:r>
    </w:p>
    <w:p w14:paraId="51B515E9">
      <w:pPr>
        <w:pStyle w:val="16"/>
        <w:spacing w:after="60"/>
      </w:pPr>
      <w:r>
        <w:rPr>
          <w:rFonts w:ascii="微软雅黑" w:hAnsi="微软雅黑" w:eastAsia="微软雅黑"/>
          <w:sz w:val="21"/>
        </w:rPr>
        <w:t xml:space="preserve">在元数据中拆分混合来源数据集（CID 的 </w:t>
      </w:r>
      <w:r>
        <w:rPr>
          <w:rFonts w:ascii="Consolas" w:hAnsi="Consolas" w:eastAsia="Consolas"/>
          <w:color w:val="373737"/>
          <w:sz w:val="20"/>
        </w:rPr>
        <w:t>yt_images</w:t>
      </w:r>
      <w:r>
        <w:rPr>
          <w:rFonts w:ascii="微软雅黑" w:hAnsi="微软雅黑" w:eastAsia="微软雅黑"/>
          <w:sz w:val="21"/>
        </w:rPr>
        <w:t>、CBPD_ODD 的视频帧与网络图），落实多标签域标签体系。</w:t>
      </w:r>
      <w:bookmarkStart w:id="0" w:name="_GoBack"/>
      <w:bookmarkEnd w:id="0"/>
    </w:p>
    <w:p w14:paraId="55E442C4">
      <w:pPr>
        <w:pStyle w:val="16"/>
        <w:spacing w:after="60"/>
      </w:pPr>
      <w:r>
        <w:rPr>
          <w:rFonts w:ascii="微软雅黑" w:hAnsi="微软雅黑" w:eastAsia="微软雅黑"/>
          <w:sz w:val="21"/>
        </w:rPr>
        <w:t>完成本学期课程学习，继续补充多模态与时序建模方向的论文阅读。</w:t>
      </w:r>
    </w:p>
    <w:sectPr>
      <w:pgSz w:w="12240" w:h="15840"/>
      <w:pgMar w:top="1037" w:right="1181" w:bottom="1037" w:left="118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Noto Serif HK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Noto Serif HK">
    <w:panose1 w:val="02020200000000000000"/>
    <w:charset w:val="88"/>
    <w:family w:val="auto"/>
    <w:pitch w:val="default"/>
    <w:sig w:usb0="20000083" w:usb1="2ADF3C10" w:usb2="00000016" w:usb3="00000000" w:csb0="60120107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3" w:lineRule="auto"/>
      </w:pPr>
      <w:r>
        <w:separator/>
      </w:r>
    </w:p>
  </w:footnote>
  <w:footnote w:type="continuationSeparator" w:id="1">
    <w:p>
      <w:pPr>
        <w:spacing w:before="0" w:after="0" w:line="283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0104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283" w:lineRule="auto"/>
    </w:pPr>
    <w:rPr>
      <w:rFonts w:ascii="微软雅黑" w:hAnsi="微软雅黑" w:eastAsia="微软雅黑" w:cstheme="minorBidi"/>
      <w:color w:val="000000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40" w:after="120" w:line="252" w:lineRule="auto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80" w:after="80" w:line="252" w:lineRule="auto"/>
      <w:outlineLvl w:val="1"/>
    </w:pPr>
    <w:rPr>
      <w:rFonts w:asciiTheme="majorHAnsi" w:hAnsiTheme="majorHAnsi" w:eastAsiaTheme="majorEastAsia" w:cstheme="majorBidi"/>
      <w:b/>
      <w:bCs/>
      <w:color w:val="000000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40" w:after="60" w:line="252" w:lineRule="auto"/>
      <w:outlineLvl w:val="2"/>
    </w:pPr>
    <w:rPr>
      <w:rFonts w:asciiTheme="majorHAnsi" w:hAnsiTheme="majorHAnsi" w:eastAsiaTheme="majorEastAsia" w:cstheme="majorBidi"/>
      <w:b/>
      <w:bCs/>
      <w:color w:val="000000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spacing w:after="60" w:line="276" w:lineRule="auto"/>
      <w:contextualSpacing/>
    </w:pPr>
    <w:rPr>
      <w:rFonts w:ascii="微软雅黑" w:hAnsi="微软雅黑" w:eastAsia="微软雅黑"/>
      <w:color w:val="000000"/>
      <w:sz w:val="21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spacing w:after="60" w:line="276" w:lineRule="auto"/>
      <w:contextualSpacing/>
    </w:pPr>
    <w:rPr>
      <w:rFonts w:ascii="微软雅黑" w:hAnsi="微软雅黑" w:eastAsia="微软雅黑"/>
      <w:color w:val="000000"/>
      <w:sz w:val="21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80" w:line="283" w:lineRule="auto"/>
    </w:pPr>
    <w:rPr>
      <w:rFonts w:ascii="微软雅黑" w:hAnsi="微软雅黑" w:eastAsia="微软雅黑"/>
      <w:color w:val="000000"/>
      <w:sz w:val="21"/>
    </w:r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after="20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40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pPr>
      <w:spacing w:after="160" w:line="269" w:lineRule="auto"/>
      <w:ind w:left="360"/>
    </w:pPr>
    <w:rPr>
      <w:rFonts w:ascii="微软雅黑" w:hAnsi="微软雅黑" w:eastAsia="微软雅黑"/>
      <w:i/>
      <w:iCs/>
      <w:color w:val="5A5A5A"/>
      <w:sz w:val="20"/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3654</Words>
  <Characters>4575</Characters>
  <Lines>0</Lines>
  <Paragraphs>0</Paragraphs>
  <TotalTime>7</TotalTime>
  <ScaleCrop>false</ScaleCrop>
  <LinksUpToDate>false</LinksUpToDate>
  <CharactersWithSpaces>4778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qzuser</cp:lastModifiedBy>
  <dcterms:modified xsi:type="dcterms:W3CDTF">2026-09-07T07:41:21Z</dcterms:modified>
  <dc:subject>2026 年上半年学习与科研进展</dc:subject>
  <dc:title>学习进展汇报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eyJoZGlkIjoiNWJkZjk2ZjViNTQxZTE4ZmJkNTE1OTFhNmVmZjA2YWUiLCJ1c2VySWQiOiIzMDg5Nzk0MDUifQ==</vt:lpwstr>
  </property>
  <property fmtid="{D5CDD505-2E9C-101B-9397-08002B2CF9AE}" pid="3" name="KSOProductBuildVer">
    <vt:lpwstr>2052-12.1.0.28505</vt:lpwstr>
  </property>
  <property fmtid="{D5CDD505-2E9C-101B-9397-08002B2CF9AE}" pid="4" name="ICV">
    <vt:lpwstr>D025AC1D9BF04729B2DE99103D069E75_12</vt:lpwstr>
  </property>
</Properties>
</file>