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Workflow documentation – CST261 project 2</w:t>
      </w:r>
    </w:p>
    <w:p>
      <w:pPr>
        <w:pStyle w:val="Heading2"/>
      </w:pPr>
      <w:r>
        <w:t>Executive summary</w:t>
      </w:r>
    </w:p>
    <w:p>
      <w:r>
        <w:t>This report extends the Project 1 MNIST classifier workflow into a Responsible AI audit. The analysis compares baseline model behavior under clean and noisy image conditions, applies explainability checks inspired by LIME/SHAP concepts, evaluates fairness indicators across digit classes, and proposes governance controls aligned with NIST AI RMF, EU AI Act principles, and OECD guidance. The main conclusion is that strong laboratory accuracy alone is not sufficient for safe deployment; robustness testing, transparency, fairness monitoring, and human oversight are required for operational trust.</w:t>
      </w:r>
    </w:p>
    <w:p>
      <w:pPr>
        <w:pStyle w:val="Heading2"/>
      </w:pPr>
      <w:r>
        <w:t>Step 1: Introduction &amp; System Profiles</w:t>
      </w:r>
    </w:p>
    <w:p>
      <w:r>
        <w:t>The audited system is a handwritten digit classifier using MNIST-style grayscale image features and digit labels 0-9. The Project 2 notebook documents dataset shape, class balance, and baseline assumptions about data quality and test conditions. This section also frames the real-world context: vision systems can degrade when scanner noise, shading, and input drift appear outside controlled training conditions.</w:t>
      </w:r>
    </w:p>
    <w:p>
      <w:pPr>
        <w:pStyle w:val="Heading2"/>
      </w:pPr>
      <w:r>
        <w:t>Step 2: Technical &amp; Operational Comparison</w:t>
      </w:r>
    </w:p>
    <w:p>
      <w:r>
        <w:t>Two algorithms from Project 1 are compared: SGDClassifier (linear baseline) and RandomForestClassifier (non-linear ensemble baseline). Both models are evaluated on clean test data and noisy test data to simulate production-like perturbations. Operational metrics include clean/noisy accuracy, clean/noisy macro-F1, inference latency, and measured accuracy drop under stress. This reveals practical trade-offs between speed, robustness, and failure tolerance.</w:t>
      </w:r>
    </w:p>
    <w:p>
      <w:pPr>
        <w:pStyle w:val="Heading2"/>
      </w:pPr>
      <w:r>
        <w:t>Step 3: Explainability &amp; Transparency Audit</w:t>
      </w:r>
    </w:p>
    <w:p>
      <w:r>
        <w:t>Global transparency is assessed with permutation importance to identify influential pixel regions. Local interpretability is explored with an interactive image inspector that visualizes per-sample pixel saliency proxies. These techniques follow the spirit of SHAP/LIME auditing: explain why a single prediction was made, detect potential reliance on non-semantic artifacts, and verify whether the model is attending to meaningful stroke geometry rather than background noise.</w:t>
      </w:r>
    </w:p>
    <w:p>
      <w:pPr>
        <w:pStyle w:val="Heading2"/>
      </w:pPr>
      <w:r>
        <w:t>Step 4: Bias &amp; Fairness Analysis</w:t>
      </w:r>
    </w:p>
    <w:p>
      <w:r>
        <w:t>Fairness evaluation is conducted at the digit-class group level to mirror subgroup auditing practices in applied AI. The notebook reports precision/recall/F1 by class, false-positive-rate parity across classes (equalized-odds style proxy), and demographic-parity-style prediction distribution gaps between observed and predicted class frequencies. This section highlights the impossibility of perfect parity across all fairness goals while still identifying actionable disparity patterns.</w:t>
      </w:r>
    </w:p>
    <w:p>
      <w:pPr>
        <w:pStyle w:val="Heading2"/>
      </w:pPr>
      <w:r>
        <w:t>Step 5: Governance, Mitigation &amp; Technical Redesign</w:t>
      </w:r>
    </w:p>
    <w:p>
      <w:r>
        <w:t>A confidence-threshold routing strategy is implemented to support Human-in-the-Loop (HITL) workflows. Predictions below the threshold are deferred for manual review, while high-confidence predictions remain automated. Recommended safeguards include confidence monitoring, drift alerts, class-level fairness dashboards, incident logging, and periodic model re-validation. Regulatory alignment is mapped to NIST AI RMF lifecycle controls, EU AI Act oversight principles, and OECD transparency/accountability expectations.</w:t>
      </w:r>
    </w:p>
    <w:p>
      <w:pPr>
        <w:pStyle w:val="Heading2"/>
      </w:pPr>
      <w:r>
        <w:t>Methodology notes and references</w:t>
      </w:r>
    </w:p>
    <w:p>
      <w:r>
        <w:t>Methodology references used in the notebook include:</w:t>
      </w:r>
    </w:p>
    <w:p>
      <w:pPr>
        <w:pStyle w:val="ListBullet"/>
      </w:pPr>
      <w:r>
        <w:t>Scikit-learn documentation for SGDClassifier, RandomForestClassifier, permutation importance, and classification metrics.</w:t>
      </w:r>
    </w:p>
    <w:p>
      <w:pPr>
        <w:pStyle w:val="ListBullet"/>
      </w:pPr>
      <w:r>
        <w:t>Molnar, C. Interpretable Machine Learning (conceptual framing for local/global explainability).</w:t>
      </w:r>
    </w:p>
    <w:p>
      <w:pPr>
        <w:pStyle w:val="ListBullet"/>
      </w:pPr>
      <w:r>
        <w:t>NIST AI Risk Management Framework (AI RMF 1.0).</w:t>
      </w:r>
    </w:p>
    <w:p>
      <w:pPr>
        <w:pStyle w:val="ListBullet"/>
      </w:pPr>
      <w:r>
        <w:t>EU AI Act policy principles for high-risk AI governance.</w:t>
      </w:r>
    </w:p>
    <w:p>
      <w:pPr>
        <w:pStyle w:val="ListBullet"/>
      </w:pPr>
      <w:r>
        <w:t>OECD AI Principles on transparency, robustness, and accountability.</w:t>
      </w:r>
    </w:p>
    <w:p>
      <w:pPr>
        <w:pStyle w:val="Heading2"/>
      </w:pPr>
      <w:r>
        <w:t>Reflective ethical commentary</w:t>
      </w:r>
    </w:p>
    <w:p>
      <w:r>
        <w:t>The Project 2 process shows that responsible AI engineering requires both technical rigor and ethical accountability. Even when aggregate accuracy is high, model behavior can still vary across classes and under realistic noise conditions. Embedding transparency tools, fairness diagnostics, and governance controls into the workflow creates a stronger evidence base for deployment decisions and a more credible foundation for oral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