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Generate the k-path for a given POSCAR</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LibreOffice/5.1.6.2$Linux_X86_64 LibreOffice_project/10m0$Build-2</Application>
  <Pages>7</Pages>
  <Words>1155</Words>
  <Characters>8493</Characters>
  <CharactersWithSpaces>9738</CharactersWithSpaces>
  <Paragraphs>131</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2018-10-26T16:13:37Z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