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1. java中采用Unicode编码。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2. 计算机中保存信息：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A--（按照字符</w:t>
      </w:r>
      <w:bookmarkStart w:id="0" w:name="_GoBack"/>
      <w:bookmarkEnd w:id="0"/>
      <w:r>
        <w:rPr>
          <w:rFonts w:hint="eastAsia"/>
          <w:sz w:val="24"/>
        </w:rPr>
        <w:t>与2进制的映射关系）编码--&gt;硬盘（内存）--解码--&gt;屏幕显示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1）使用编码方式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2）进行编码、解码过程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3）产生乱码问题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3. 常见的字符编码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1）ASCII ：主用于表达英语和西欧语言中的字符，只用一个字节的7位，一共表示128个字符。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2）ISO-8859-1 ：与ASCII兼容。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3）GB2312 ：包括对简体中文的编码，一共收录了7445个（6763个汉字、682个其他字符）字符，与ASCII字符编码兼容。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4）GBK ：对GB2312的扩展，收录了21886个字符，与GB2312字符编码兼容。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5）Unicode（统一码）：跨平台的字符编码。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6）UTF（可变长度）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4. 显示汉字的使用方式：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c = 0;//十进制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5. 转义字符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\n ：换行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\r ：左边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\t ：水平制表符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6. 面向对象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1）对象是对问题领域中事物的抽象。特点：万物皆对象；每个对象是唯一的；对象具有属性和行为；对象具有状态。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2）根据类来创建    对象 = 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3）类是对象的抽象，对象是类的具体化。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7. 构造器 构造函数 构造方法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new Student(); 使用无参构造器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只要定义一个类: 默认添加一个无参构造器。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引入类型 与对象的类型完全相同。</w:t>
      </w: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20171612207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姓名：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>日期：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2020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年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23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F12"/>
    <w:rsid w:val="05CA00E4"/>
    <w:rsid w:val="15F92071"/>
    <w:rsid w:val="171C09DD"/>
    <w:rsid w:val="1E8F40C3"/>
    <w:rsid w:val="2197576F"/>
    <w:rsid w:val="2BF73C5C"/>
    <w:rsid w:val="331825F4"/>
    <w:rsid w:val="34D52AD7"/>
    <w:rsid w:val="3E806A8F"/>
    <w:rsid w:val="40D04443"/>
    <w:rsid w:val="42254060"/>
    <w:rsid w:val="4FEC2B6F"/>
    <w:rsid w:val="5EEC359B"/>
    <w:rsid w:val="67CC7755"/>
    <w:rsid w:val="6FA90B61"/>
    <w:rsid w:val="71F25B74"/>
    <w:rsid w:val="770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2020-07-27T03:22:42Z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