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44"/>
          <w:szCs w:val="44"/>
        </w:rPr>
        <w:t xml:space="preserve">Global Policy – Pay Practices for Cordant Solutions Services</w:t>
      </w:r>
    </w:p>
    <w:p>
      <w:pPr>
        <w:spacing w:after="400"/>
      </w:pPr>
      <w:r>
        <w:rPr>
          <w:rFonts w:ascii="Arial" w:cs="Arial" w:eastAsia="Arial" w:hAnsi="Arial"/>
          <w:b/>
          <w:bCs/>
          <w:color w:val="CC0000"/>
          <w:sz w:val="24"/>
          <w:szCs w:val="24"/>
        </w:rPr>
        <w:t xml:space="preserve">ENHANCED VERSION - Legal &amp; Compliance Review Applied</w:t>
      </w:r>
    </w:p>
    <w:p>
      <w:pPr>
        <w:pStyle w:val="Heading1"/>
        <w:spacing w:before="400" w:after="200"/>
      </w:pPr>
      <w:r>
        <w:rPr>
          <w:rFonts w:ascii="Arial" w:cs="Arial" w:eastAsia="Arial" w:hAnsi="Arial"/>
          <w:b/>
          <w:bCs/>
          <w:sz w:val="28"/>
          <w:szCs w:val="28"/>
        </w:rPr>
        <w:t xml:space="preserve">1. Purpose</w:t>
      </w:r>
    </w:p>
    <w:p>
      <w:pPr>
        <w:spacing w:after="200"/>
      </w:pPr>
      <w:r>
        <w:rPr>
          <w:rFonts w:ascii="Arial" w:cs="Arial" w:eastAsia="Arial" w:hAnsi="Arial"/>
          <w:sz w:val="22"/>
          <w:szCs w:val="22"/>
        </w:rPr>
        <w:t xml:space="preserve">This policy establishes the global framework for pay practices, overtime, and related premiums for Eligible Employees within Cordant Solutions Services. It defines minimum global standards while allowing regional and country-specific policies to govern local requirements in compliance with applicable laws and Collective Bargaining Agreements (CBAs).</w:t>
      </w:r>
    </w:p>
    <w:p>
      <w:pPr>
        <w:pStyle w:val="Heading1"/>
        <w:spacing w:before="400" w:after="200"/>
      </w:pPr>
      <w:r>
        <w:rPr>
          <w:rFonts w:ascii="Arial" w:cs="Arial" w:eastAsia="Arial" w:hAnsi="Arial"/>
          <w:b/>
          <w:bCs/>
          <w:sz w:val="28"/>
          <w:szCs w:val="28"/>
        </w:rPr>
        <w:t xml:space="preserve">2. Legal Compliance &amp; Precedence</w:t>
      </w:r>
    </w:p>
    <w:p>
      <w:pPr>
        <w:spacing w:after="200"/>
      </w:pPr>
      <w:r>
        <w:rPr>
          <w:rFonts w:ascii="Arial" w:cs="Arial" w:eastAsia="Arial" w:hAnsi="Arial"/>
          <w:i/>
          <w:iCs/>
          <w:color w:val="CC0000"/>
          <w:sz w:val="20"/>
          <w:szCs w:val="20"/>
        </w:rPr>
        <w:t xml:space="preserve">[ENHANCED - Previously Section 17, moved here for prominence]</w:t>
      </w:r>
    </w:p>
    <w:p>
      <w:pPr>
        <w:spacing w:after="200"/>
      </w:pPr>
      <w:r>
        <w:rPr>
          <w:rFonts w:ascii="Arial" w:cs="Arial" w:eastAsia="Arial" w:hAnsi="Arial"/>
          <w:sz w:val="22"/>
          <w:szCs w:val="22"/>
        </w:rPr>
        <w:t xml:space="preserve">This policy establishes global minimum standards. Where any provision of this policy conflicts with applicable local laws, regulations, collective bargaining agreements (CBAs), or individual employment contracts, such local requirements shall take precedence and this policy shall be deemed amended accordingly.</w:t>
      </w:r>
    </w:p>
    <w:p>
      <w:pPr>
        <w:spacing w:after="200"/>
      </w:pPr>
      <w:r>
        <w:rPr>
          <w:rFonts w:ascii="Arial" w:cs="Arial" w:eastAsia="Arial" w:hAnsi="Arial"/>
          <w:sz w:val="22"/>
          <w:szCs w:val="22"/>
        </w:rPr>
        <w:t xml:space="preserve">Nothing in this policy is intended to reduce or limit any statutory rights or entitlements. In no case shall the application of this policy result in compensation lower than that required by applicable law.</w:t>
      </w:r>
    </w:p>
    <w:p>
      <w:pPr>
        <w:spacing w:after="200"/>
      </w:pPr>
      <w:r>
        <w:rPr>
          <w:rFonts w:ascii="Arial" w:cs="Arial" w:eastAsia="Arial" w:hAnsi="Arial"/>
          <w:sz w:val="22"/>
          <w:szCs w:val="22"/>
        </w:rPr>
        <w:t xml:space="preserve">Employees should consult regional/country-specific policies and their local HR representative for applicable local requirements. Questions regarding conflict of laws and this policy should be addressed with the applicable HR Support via MySupport.</w:t>
      </w:r>
    </w:p>
    <w:p>
      <w:pPr>
        <w:pStyle w:val="Heading1"/>
        <w:spacing w:before="400" w:after="200"/>
      </w:pPr>
      <w:r>
        <w:rPr>
          <w:rFonts w:ascii="Arial" w:cs="Arial" w:eastAsia="Arial" w:hAnsi="Arial"/>
          <w:b/>
          <w:bCs/>
          <w:sz w:val="28"/>
          <w:szCs w:val="28"/>
        </w:rPr>
        <w:t xml:space="preserve">3. Scope</w:t>
      </w:r>
    </w:p>
    <w:p>
      <w:pPr>
        <w:spacing w:after="200"/>
      </w:pPr>
      <w:r>
        <w:rPr>
          <w:rFonts w:ascii="Arial" w:cs="Arial" w:eastAsia="Arial" w:hAnsi="Arial"/>
          <w:sz w:val="22"/>
          <w:szCs w:val="22"/>
        </w:rPr>
        <w:t xml:space="preserve">This policy applies to all overtime-eligible Field employees within IET Cordant Solutions Services across all regions.</w:t>
      </w:r>
    </w:p>
    <w:p>
      <w:pPr>
        <w:spacing w:after="150"/>
      </w:pPr>
      <w:r>
        <w:rPr>
          <w:rFonts w:ascii="Arial" w:cs="Arial" w:eastAsia="Arial" w:hAnsi="Arial"/>
          <w:b/>
          <w:bCs/>
          <w:sz w:val="22"/>
          <w:szCs w:val="22"/>
        </w:rPr>
        <w:t xml:space="preserve">This policy applies to employees in the following job categories ("Eligible Employees"):</w:t>
      </w:r>
    </w:p>
    <w:p>
      <w:pPr>
        <w:pStyle w:val="ListParagraph"/>
        <w:numPr>
          <w:ilvl w:val="0"/>
          <w:numId w:val="1"/>
        </w:numPr>
        <w:spacing w:after="100"/>
      </w:pPr>
      <w:r>
        <w:rPr>
          <w:rFonts w:ascii="Arial" w:cs="Arial" w:eastAsia="Arial" w:hAnsi="Arial"/>
          <w:sz w:val="22"/>
          <w:szCs w:val="22"/>
        </w:rPr>
        <w:t xml:space="preserve">Field Service Technician</w:t>
      </w:r>
    </w:p>
    <w:p>
      <w:pPr>
        <w:pStyle w:val="ListParagraph"/>
        <w:numPr>
          <w:ilvl w:val="0"/>
          <w:numId w:val="1"/>
        </w:numPr>
        <w:spacing w:after="100"/>
      </w:pPr>
      <w:r>
        <w:rPr>
          <w:rFonts w:ascii="Arial" w:cs="Arial" w:eastAsia="Arial" w:hAnsi="Arial"/>
          <w:sz w:val="22"/>
          <w:szCs w:val="22"/>
        </w:rPr>
        <w:t xml:space="preserve">Services Specialist</w:t>
      </w:r>
    </w:p>
    <w:p>
      <w:pPr>
        <w:pStyle w:val="ListParagraph"/>
        <w:numPr>
          <w:ilvl w:val="0"/>
          <w:numId w:val="1"/>
        </w:numPr>
        <w:spacing w:after="100"/>
      </w:pPr>
      <w:r>
        <w:rPr>
          <w:rFonts w:ascii="Arial" w:cs="Arial" w:eastAsia="Arial" w:hAnsi="Arial"/>
          <w:sz w:val="22"/>
          <w:szCs w:val="22"/>
        </w:rPr>
        <w:t xml:space="preserve">Customer Contract Management and Contract Performance Management</w:t>
      </w:r>
    </w:p>
    <w:p>
      <w:pPr>
        <w:pStyle w:val="ListParagraph"/>
        <w:numPr>
          <w:ilvl w:val="0"/>
          <w:numId w:val="1"/>
        </w:numPr>
        <w:spacing w:after="100"/>
      </w:pPr>
      <w:r>
        <w:rPr>
          <w:rFonts w:ascii="Arial" w:cs="Arial" w:eastAsia="Arial" w:hAnsi="Arial"/>
          <w:sz w:val="22"/>
          <w:szCs w:val="22"/>
        </w:rPr>
        <w:t xml:space="preserve">Field Svc &amp; Technical Advising</w:t>
      </w:r>
    </w:p>
    <w:p>
      <w:pPr>
        <w:pStyle w:val="ListParagraph"/>
        <w:numPr>
          <w:ilvl w:val="0"/>
          <w:numId w:val="1"/>
        </w:numPr>
        <w:spacing w:after="100"/>
      </w:pPr>
      <w:r>
        <w:rPr>
          <w:rFonts w:ascii="Arial" w:cs="Arial" w:eastAsia="Arial" w:hAnsi="Arial"/>
          <w:sz w:val="22"/>
          <w:szCs w:val="22"/>
        </w:rPr>
        <w:t xml:space="preserve">Customer Order &amp; Fulfillment</w:t>
      </w:r>
    </w:p>
    <w:p>
      <w:pPr>
        <w:pStyle w:val="ListParagraph"/>
        <w:numPr>
          <w:ilvl w:val="0"/>
          <w:numId w:val="1"/>
        </w:numPr>
        <w:spacing w:after="100"/>
      </w:pPr>
      <w:r>
        <w:rPr>
          <w:rFonts w:ascii="Arial" w:cs="Arial" w:eastAsia="Arial" w:hAnsi="Arial"/>
          <w:sz w:val="22"/>
          <w:szCs w:val="22"/>
        </w:rPr>
        <w:t xml:space="preserve">Services Manager: Commissioning, Training, On Site Services, Srvcs Project Management, Contract Performance Management</w:t>
      </w:r>
    </w:p>
    <w:p>
      <w:pPr>
        <w:pStyle w:val="ListParagraph"/>
        <w:numPr>
          <w:ilvl w:val="0"/>
          <w:numId w:val="1"/>
        </w:numPr>
        <w:spacing w:after="100"/>
      </w:pPr>
      <w:r>
        <w:rPr>
          <w:rFonts w:ascii="Arial" w:cs="Arial" w:eastAsia="Arial" w:hAnsi="Arial"/>
          <w:sz w:val="22"/>
          <w:szCs w:val="22"/>
        </w:rPr>
        <w:t xml:space="preserve">Other roles performing onsite billable customer assignments in similar capacity to the listed roles, as determined by HR in consultation with the Service Director. Such determinations shall be documented and applied consistently.</w:t>
      </w:r>
    </w:p>
    <w:p>
      <w:pPr>
        <w:spacing w:before="200" w:after="150"/>
      </w:pPr>
      <w:r>
        <w:rPr>
          <w:rFonts w:ascii="Arial" w:cs="Arial" w:eastAsia="Arial" w:hAnsi="Arial"/>
          <w:b/>
          <w:bCs/>
          <w:sz w:val="22"/>
          <w:szCs w:val="22"/>
        </w:rPr>
        <w:t xml:space="preserve">This policy does not apply to:</w:t>
      </w:r>
    </w:p>
    <w:p>
      <w:pPr>
        <w:pStyle w:val="ListParagraph"/>
        <w:numPr>
          <w:ilvl w:val="0"/>
          <w:numId w:val="1"/>
        </w:numPr>
        <w:spacing w:after="100"/>
      </w:pPr>
      <w:r>
        <w:rPr>
          <w:rFonts w:ascii="Arial" w:cs="Arial" w:eastAsia="Arial" w:hAnsi="Arial"/>
          <w:sz w:val="22"/>
          <w:szCs w:val="22"/>
        </w:rPr>
        <w:t xml:space="preserve">International rotators under Global Mobility policies</w:t>
      </w:r>
    </w:p>
    <w:p>
      <w:pPr>
        <w:pStyle w:val="Heading1"/>
        <w:spacing w:before="400" w:after="200"/>
      </w:pPr>
      <w:r>
        <w:rPr>
          <w:rFonts w:ascii="Arial" w:cs="Arial" w:eastAsia="Arial" w:hAnsi="Arial"/>
          <w:b/>
          <w:bCs/>
          <w:sz w:val="28"/>
          <w:szCs w:val="28"/>
        </w:rPr>
        <w:t xml:space="preserve">4. Terms, Definitions and Acronyms</w:t>
      </w:r>
    </w:p>
    <w:p>
      <w:pPr>
        <w:pStyle w:val="ListParagraph"/>
        <w:numPr>
          <w:ilvl w:val="0"/>
          <w:numId w:val="1"/>
        </w:numPr>
        <w:spacing w:after="100"/>
      </w:pPr>
      <w:r>
        <w:rPr>
          <w:rFonts w:ascii="Arial" w:cs="Arial" w:eastAsia="Arial" w:hAnsi="Arial"/>
          <w:b/>
          <w:bCs/>
          <w:sz w:val="22"/>
          <w:szCs w:val="22"/>
        </w:rPr>
        <w:t xml:space="preserve">Base Pay: </w:t>
      </w:r>
      <w:r>
        <w:rPr>
          <w:rFonts w:ascii="Arial" w:cs="Arial" w:eastAsia="Arial" w:hAnsi="Arial"/>
          <w:sz w:val="22"/>
          <w:szCs w:val="22"/>
        </w:rPr>
        <w:t xml:space="preserve">Base pay as per Workday (excluding allowances and benefits)</w:t>
      </w:r>
    </w:p>
    <w:p>
      <w:pPr>
        <w:pStyle w:val="ListParagraph"/>
        <w:numPr>
          <w:ilvl w:val="0"/>
          <w:numId w:val="1"/>
        </w:numPr>
        <w:spacing w:after="100"/>
      </w:pPr>
      <w:r>
        <w:rPr>
          <w:rFonts w:ascii="Arial" w:cs="Arial" w:eastAsia="Arial" w:hAnsi="Arial"/>
          <w:b/>
          <w:bCs/>
          <w:sz w:val="22"/>
          <w:szCs w:val="22"/>
        </w:rPr>
        <w:t xml:space="preserve">Home Base Country / City: </w:t>
      </w:r>
      <w:r>
        <w:rPr>
          <w:rFonts w:ascii="Arial" w:cs="Arial" w:eastAsia="Arial" w:hAnsi="Arial"/>
          <w:sz w:val="22"/>
          <w:szCs w:val="22"/>
        </w:rPr>
        <w:t xml:space="preserve">The country / city in which the employee is contracted and directly paid from being part of the local payroll</w:t>
      </w:r>
    </w:p>
    <w:p>
      <w:pPr>
        <w:pStyle w:val="ListParagraph"/>
        <w:numPr>
          <w:ilvl w:val="0"/>
          <w:numId w:val="1"/>
        </w:numPr>
        <w:spacing w:after="100"/>
      </w:pPr>
      <w:r>
        <w:rPr>
          <w:rFonts w:ascii="Arial" w:cs="Arial" w:eastAsia="Arial" w:hAnsi="Arial"/>
          <w:b/>
          <w:bCs/>
          <w:sz w:val="22"/>
          <w:szCs w:val="22"/>
        </w:rPr>
        <w:t xml:space="preserve">Host Country: </w:t>
      </w:r>
      <w:r>
        <w:rPr>
          <w:rFonts w:ascii="Arial" w:cs="Arial" w:eastAsia="Arial" w:hAnsi="Arial"/>
          <w:sz w:val="22"/>
          <w:szCs w:val="22"/>
        </w:rPr>
        <w:t xml:space="preserve">The country where the employee has a temporary assignment outside their Home Base Country</w:t>
      </w:r>
    </w:p>
    <w:p>
      <w:pPr>
        <w:pStyle w:val="ListParagraph"/>
        <w:numPr>
          <w:ilvl w:val="0"/>
          <w:numId w:val="1"/>
        </w:numPr>
        <w:spacing w:after="100"/>
      </w:pPr>
      <w:r>
        <w:rPr>
          <w:rFonts w:ascii="Arial" w:cs="Arial" w:eastAsia="Arial" w:hAnsi="Arial"/>
          <w:b/>
          <w:bCs/>
          <w:sz w:val="22"/>
          <w:szCs w:val="22"/>
        </w:rPr>
        <w:t xml:space="preserve">People Leader / N+1 Manager: </w:t>
      </w:r>
      <w:r>
        <w:rPr>
          <w:rFonts w:ascii="Arial" w:cs="Arial" w:eastAsia="Arial" w:hAnsi="Arial"/>
          <w:sz w:val="22"/>
          <w:szCs w:val="22"/>
        </w:rPr>
        <w:t xml:space="preserve">Employee's direct manager (level 1 approval)</w:t>
      </w:r>
    </w:p>
    <w:p>
      <w:pPr>
        <w:pStyle w:val="ListParagraph"/>
        <w:numPr>
          <w:ilvl w:val="0"/>
          <w:numId w:val="1"/>
        </w:numPr>
        <w:spacing w:after="100"/>
      </w:pPr>
      <w:r>
        <w:rPr>
          <w:rFonts w:ascii="Arial" w:cs="Arial" w:eastAsia="Arial" w:hAnsi="Arial"/>
          <w:b/>
          <w:bCs/>
          <w:sz w:val="22"/>
          <w:szCs w:val="22"/>
        </w:rPr>
        <w:t xml:space="preserve">Overtime: </w:t>
      </w:r>
      <w:r>
        <w:rPr>
          <w:rFonts w:ascii="Arial" w:cs="Arial" w:eastAsia="Arial" w:hAnsi="Arial"/>
          <w:sz w:val="22"/>
          <w:szCs w:val="22"/>
        </w:rPr>
        <w:t xml:space="preserve">Any work performed at customer site and outside the standard hours of employment as per local law</w:t>
      </w:r>
    </w:p>
    <w:p>
      <w:pPr>
        <w:pStyle w:val="ListParagraph"/>
        <w:numPr>
          <w:ilvl w:val="0"/>
          <w:numId w:val="1"/>
        </w:numPr>
        <w:spacing w:after="100"/>
      </w:pPr>
      <w:r>
        <w:rPr>
          <w:rFonts w:ascii="Arial" w:cs="Arial" w:eastAsia="Arial" w:hAnsi="Arial"/>
          <w:b/>
          <w:bCs/>
          <w:sz w:val="22"/>
          <w:szCs w:val="22"/>
        </w:rPr>
        <w:t xml:space="preserve">Weekend 1 and Weekend 2: </w:t>
      </w:r>
      <w:r>
        <w:rPr>
          <w:rFonts w:ascii="Arial" w:cs="Arial" w:eastAsia="Arial" w:hAnsi="Arial"/>
          <w:sz w:val="22"/>
          <w:szCs w:val="22"/>
        </w:rPr>
        <w:t xml:space="preserve">Depending on country the weekends are defined in Appendix B</w:t>
      </w:r>
    </w:p>
    <w:p>
      <w:pPr>
        <w:pStyle w:val="ListParagraph"/>
        <w:numPr>
          <w:ilvl w:val="0"/>
          <w:numId w:val="1"/>
        </w:numPr>
        <w:spacing w:after="100"/>
      </w:pPr>
      <w:r>
        <w:rPr>
          <w:rFonts w:ascii="Arial" w:cs="Arial" w:eastAsia="Arial" w:hAnsi="Arial"/>
          <w:b/>
          <w:bCs/>
          <w:sz w:val="22"/>
          <w:szCs w:val="22"/>
        </w:rPr>
        <w:t xml:space="preserve">OT1: </w:t>
      </w:r>
      <w:r>
        <w:rPr>
          <w:rFonts w:ascii="Arial" w:cs="Arial" w:eastAsia="Arial" w:hAnsi="Arial"/>
          <w:sz w:val="22"/>
          <w:szCs w:val="22"/>
        </w:rPr>
        <w:t xml:space="preserve">Overtime at 1.5x hourly rate</w:t>
      </w:r>
    </w:p>
    <w:p>
      <w:pPr>
        <w:pStyle w:val="ListParagraph"/>
        <w:numPr>
          <w:ilvl w:val="0"/>
          <w:numId w:val="1"/>
        </w:numPr>
        <w:spacing w:after="100"/>
      </w:pPr>
      <w:r>
        <w:rPr>
          <w:rFonts w:ascii="Arial" w:cs="Arial" w:eastAsia="Arial" w:hAnsi="Arial"/>
          <w:b/>
          <w:bCs/>
          <w:sz w:val="22"/>
          <w:szCs w:val="22"/>
        </w:rPr>
        <w:t xml:space="preserve">OT2: </w:t>
      </w:r>
      <w:r>
        <w:rPr>
          <w:rFonts w:ascii="Arial" w:cs="Arial" w:eastAsia="Arial" w:hAnsi="Arial"/>
          <w:sz w:val="22"/>
          <w:szCs w:val="22"/>
        </w:rPr>
        <w:t xml:space="preserve">Overtime at 2x hourly rate</w:t>
      </w:r>
    </w:p>
    <w:p>
      <w:pPr>
        <w:pStyle w:val="ListParagraph"/>
        <w:numPr>
          <w:ilvl w:val="0"/>
          <w:numId w:val="1"/>
        </w:numPr>
        <w:spacing w:after="100"/>
      </w:pPr>
      <w:r>
        <w:rPr>
          <w:rFonts w:ascii="Arial" w:cs="Arial" w:eastAsia="Arial" w:hAnsi="Arial"/>
          <w:b/>
          <w:bCs/>
          <w:sz w:val="22"/>
          <w:szCs w:val="22"/>
        </w:rPr>
        <w:t xml:space="preserve">IET: </w:t>
      </w:r>
      <w:r>
        <w:rPr>
          <w:rFonts w:ascii="Arial" w:cs="Arial" w:eastAsia="Arial" w:hAnsi="Arial"/>
          <w:sz w:val="22"/>
          <w:szCs w:val="22"/>
        </w:rPr>
        <w:t xml:space="preserve">Industrial &amp; Energy Technology</w:t>
      </w:r>
    </w:p>
    <w:p>
      <w:pPr>
        <w:pStyle w:val="ListParagraph"/>
        <w:numPr>
          <w:ilvl w:val="0"/>
          <w:numId w:val="1"/>
        </w:numPr>
        <w:spacing w:after="100"/>
      </w:pPr>
      <w:r>
        <w:rPr>
          <w:rFonts w:ascii="Arial" w:cs="Arial" w:eastAsia="Arial" w:hAnsi="Arial"/>
          <w:b/>
          <w:bCs/>
          <w:sz w:val="22"/>
          <w:szCs w:val="22"/>
        </w:rPr>
        <w:t xml:space="preserve">Offshore Rate: </w:t>
      </w:r>
      <w:r>
        <w:rPr>
          <w:rFonts w:ascii="Arial" w:cs="Arial" w:eastAsia="Arial" w:hAnsi="Arial"/>
          <w:sz w:val="22"/>
          <w:szCs w:val="22"/>
        </w:rPr>
        <w:t xml:space="preserve">Premium paid for work at offshore locations/platforms (rate per regional policy)</w:t>
      </w:r>
    </w:p>
    <w:p>
      <w:pPr>
        <w:pStyle w:val="ListParagraph"/>
        <w:numPr>
          <w:ilvl w:val="0"/>
          <w:numId w:val="1"/>
        </w:numPr>
        <w:spacing w:after="100"/>
      </w:pPr>
      <w:r>
        <w:rPr>
          <w:rFonts w:ascii="Arial" w:cs="Arial" w:eastAsia="Arial" w:hAnsi="Arial"/>
          <w:b/>
          <w:bCs/>
          <w:sz w:val="22"/>
          <w:szCs w:val="22"/>
        </w:rPr>
        <w:t xml:space="preserve">Hardship Premium: </w:t>
      </w:r>
      <w:r>
        <w:rPr>
          <w:rFonts w:ascii="Arial" w:cs="Arial" w:eastAsia="Arial" w:hAnsi="Arial"/>
          <w:sz w:val="22"/>
          <w:szCs w:val="22"/>
        </w:rPr>
        <w:t xml:space="preserve">Uplift on Base Pay for work at designated hardship locations (rate per regional policy)</w:t>
      </w:r>
    </w:p>
    <w:p>
      <w:pPr>
        <w:pStyle w:val="ListParagraph"/>
        <w:numPr>
          <w:ilvl w:val="0"/>
          <w:numId w:val="1"/>
        </w:numPr>
        <w:spacing w:after="100"/>
      </w:pPr>
      <w:r>
        <w:rPr>
          <w:rFonts w:ascii="Arial" w:cs="Arial" w:eastAsia="Arial" w:hAnsi="Arial"/>
          <w:b/>
          <w:bCs/>
          <w:sz w:val="22"/>
          <w:szCs w:val="22"/>
        </w:rPr>
        <w:t xml:space="preserve">Days in Lieu: </w:t>
      </w:r>
      <w:r>
        <w:rPr>
          <w:rFonts w:ascii="Arial" w:cs="Arial" w:eastAsia="Arial" w:hAnsi="Arial"/>
          <w:sz w:val="22"/>
          <w:szCs w:val="22"/>
        </w:rPr>
        <w:t xml:space="preserve">Compensatory time off for offshore rotation work</w:t>
      </w:r>
    </w:p>
    <w:p>
      <w:pPr>
        <w:pStyle w:val="Heading1"/>
        <w:spacing w:before="400" w:after="200"/>
      </w:pPr>
      <w:r>
        <w:rPr>
          <w:rFonts w:ascii="Arial" w:cs="Arial" w:eastAsia="Arial" w:hAnsi="Arial"/>
          <w:b/>
          <w:bCs/>
          <w:sz w:val="28"/>
          <w:szCs w:val="28"/>
        </w:rPr>
        <w:t xml:space="preserve">5. Policy</w:t>
      </w:r>
    </w:p>
    <w:p>
      <w:pPr>
        <w:spacing w:after="200"/>
      </w:pPr>
      <w:r>
        <w:rPr>
          <w:rFonts w:ascii="Arial" w:cs="Arial" w:eastAsia="Arial" w:hAnsi="Arial"/>
          <w:sz w:val="22"/>
          <w:szCs w:val="22"/>
        </w:rPr>
        <w:t xml:space="preserve">Baker Hughes Company and its affiliates and subsidiaries (collectively the "Company") want to compensate Eligible Employees per day for providing services for customers. These payments work with Base Pay and overtime as part of the employee's total compensation.</w:t>
      </w:r>
    </w:p>
    <w:p>
      <w:pPr>
        <w:spacing w:after="200"/>
      </w:pPr>
      <w:r>
        <w:rPr>
          <w:rFonts w:ascii="Arial" w:cs="Arial" w:eastAsia="Arial" w:hAnsi="Arial"/>
          <w:sz w:val="22"/>
          <w:szCs w:val="22"/>
        </w:rPr>
        <w:t xml:space="preserve">As a result, the Company's compensation strategy is based on rewarding performance for those employees providing services to customers. To be considered for payment, the following eligibility requirements must be met:</w:t>
      </w:r>
    </w:p>
    <w:p>
      <w:pPr>
        <w:pStyle w:val="ListParagraph"/>
        <w:numPr>
          <w:ilvl w:val="0"/>
          <w:numId w:val="1"/>
        </w:numPr>
        <w:spacing w:after="100"/>
      </w:pPr>
      <w:r>
        <w:rPr>
          <w:rFonts w:ascii="Arial" w:cs="Arial" w:eastAsia="Arial" w:hAnsi="Arial"/>
          <w:sz w:val="22"/>
          <w:szCs w:val="22"/>
        </w:rPr>
        <w:t xml:space="preserve">A request for running a commercial job is initiated by the customer or by the Company for a revenue generating job</w:t>
      </w:r>
    </w:p>
    <w:p>
      <w:pPr>
        <w:pStyle w:val="ListParagraph"/>
        <w:numPr>
          <w:ilvl w:val="0"/>
          <w:numId w:val="1"/>
        </w:numPr>
        <w:spacing w:after="100"/>
      </w:pPr>
      <w:r>
        <w:rPr>
          <w:rFonts w:ascii="Arial" w:cs="Arial" w:eastAsia="Arial" w:hAnsi="Arial"/>
          <w:sz w:val="22"/>
          <w:szCs w:val="22"/>
        </w:rPr>
        <w:t xml:space="preserve">The activity is a regular required job activity for the employee</w:t>
      </w:r>
    </w:p>
    <w:p>
      <w:pPr>
        <w:pStyle w:val="ListParagraph"/>
        <w:numPr>
          <w:ilvl w:val="0"/>
          <w:numId w:val="1"/>
        </w:numPr>
        <w:spacing w:after="100"/>
      </w:pPr>
      <w:r>
        <w:rPr>
          <w:rFonts w:ascii="Arial" w:cs="Arial" w:eastAsia="Arial" w:hAnsi="Arial"/>
          <w:sz w:val="22"/>
          <w:szCs w:val="22"/>
        </w:rPr>
        <w:t xml:space="preserve">The employee is scheduled by their People Leader to run the commercial job</w:t>
      </w:r>
    </w:p>
    <w:p>
      <w:pPr>
        <w:pStyle w:val="ListParagraph"/>
        <w:numPr>
          <w:ilvl w:val="0"/>
          <w:numId w:val="1"/>
        </w:numPr>
        <w:spacing w:after="100"/>
      </w:pPr>
      <w:r>
        <w:rPr>
          <w:rFonts w:ascii="Arial" w:cs="Arial" w:eastAsia="Arial" w:hAnsi="Arial"/>
          <w:sz w:val="22"/>
          <w:szCs w:val="22"/>
        </w:rPr>
        <w:t xml:space="preserve">The employee runs the commercial job</w:t>
      </w:r>
    </w:p>
    <w:p>
      <w:pPr>
        <w:pStyle w:val="ListParagraph"/>
        <w:numPr>
          <w:ilvl w:val="0"/>
          <w:numId w:val="1"/>
        </w:numPr>
        <w:spacing w:after="100"/>
      </w:pPr>
      <w:r>
        <w:rPr>
          <w:rFonts w:ascii="Arial" w:cs="Arial" w:eastAsia="Arial" w:hAnsi="Arial"/>
          <w:sz w:val="22"/>
          <w:szCs w:val="22"/>
        </w:rPr>
        <w:t xml:space="preserve">The assignment is identified by an official Work Order within the approved system (e.g., ServiceMAX)</w:t>
      </w:r>
    </w:p>
    <w:p>
      <w:pPr>
        <w:spacing w:before="200" w:after="100"/>
      </w:pPr>
      <w:r>
        <w:rPr>
          <w:rFonts w:ascii="Arial" w:cs="Arial" w:eastAsia="Arial" w:hAnsi="Arial"/>
          <w:i/>
          <w:iCs/>
          <w:color w:val="CC0000"/>
          <w:sz w:val="20"/>
          <w:szCs w:val="20"/>
        </w:rPr>
        <w:t xml:space="preserve">[ENHANCED - Amendment clause modified]</w:t>
      </w:r>
    </w:p>
    <w:p>
      <w:pPr>
        <w:spacing w:after="200"/>
      </w:pPr>
      <w:r>
        <w:rPr>
          <w:rFonts w:ascii="Arial" w:cs="Arial" w:eastAsia="Arial" w:hAnsi="Arial"/>
          <w:sz w:val="22"/>
          <w:szCs w:val="22"/>
        </w:rPr>
        <w:t xml:space="preserve">The Company regularly reviews compensation practices and conducts regular market benchmarking to ensure that the total compensation package is competitive. The Company reserves the right to amend, modify, or change this policy and the rates defined herein. Any material changes affecting employee compensation will be communicated with reasonable advance notice as required by applicable law, collective bargaining agreements, or individual employment contracts.</w:t>
      </w:r>
    </w:p>
    <w:p>
      <w:pPr>
        <w:pStyle w:val="Heading1"/>
        <w:spacing w:before="400" w:after="200"/>
      </w:pPr>
      <w:r>
        <w:rPr>
          <w:rFonts w:ascii="Arial" w:cs="Arial" w:eastAsia="Arial" w:hAnsi="Arial"/>
          <w:b/>
          <w:bCs/>
          <w:sz w:val="28"/>
          <w:szCs w:val="28"/>
        </w:rPr>
        <w:t xml:space="preserve">6. General Guidelines</w:t>
      </w:r>
    </w:p>
    <w:p>
      <w:pPr>
        <w:spacing w:after="100"/>
      </w:pPr>
      <w:r>
        <w:rPr>
          <w:rFonts w:ascii="Arial" w:cs="Arial" w:eastAsia="Arial" w:hAnsi="Arial"/>
          <w:i/>
          <w:iCs/>
          <w:color w:val="CC0000"/>
          <w:sz w:val="20"/>
          <w:szCs w:val="20"/>
        </w:rPr>
        <w:t xml:space="preserve">[ENHANCED - Disciplinary language revised]</w:t>
      </w:r>
    </w:p>
    <w:p>
      <w:pPr>
        <w:spacing w:after="200"/>
      </w:pPr>
      <w:r>
        <w:rPr>
          <w:rFonts w:ascii="Arial" w:cs="Arial" w:eastAsia="Arial" w:hAnsi="Arial"/>
          <w:sz w:val="22"/>
          <w:szCs w:val="22"/>
        </w:rPr>
        <w:t xml:space="preserve">Employees must comply with all relevant Company policies, including the Company Values, Statement of Integrity, and Our Way: The Baker Hughes Code of Conduct at all times. Non-compliance with this policy may result in disciplinary action in accordance with the Company's disciplinary procedures and applicable law. The nature of any disciplinary action will be proportionate to the severity of the breach.</w:t>
      </w:r>
    </w:p>
    <w:p>
      <w:pPr>
        <w:spacing w:after="200"/>
      </w:pPr>
      <w:r>
        <w:rPr>
          <w:rFonts w:ascii="Arial" w:cs="Arial" w:eastAsia="Arial" w:hAnsi="Arial"/>
          <w:sz w:val="22"/>
          <w:szCs w:val="22"/>
        </w:rPr>
        <w:t xml:space="preserve">The policy and rates defined herein may also be subject to review to ensure ongoing alignment with market conditions. The Company will endeavor to give reasonable notice of any changes to this policy to the affected employees. However, business conditions may affect timing and the length of such notice.</w:t>
      </w:r>
    </w:p>
    <w:p>
      <w:pPr>
        <w:pStyle w:val="Heading1"/>
        <w:spacing w:before="400" w:after="200"/>
      </w:pPr>
      <w:r>
        <w:rPr>
          <w:rFonts w:ascii="Arial" w:cs="Arial" w:eastAsia="Arial" w:hAnsi="Arial"/>
          <w:b/>
          <w:bCs/>
          <w:sz w:val="28"/>
          <w:szCs w:val="28"/>
        </w:rPr>
        <w:t xml:space="preserve">7. Overtime</w:t>
      </w:r>
    </w:p>
    <w:p>
      <w:pPr>
        <w:spacing w:after="200"/>
      </w:pPr>
      <w:r>
        <w:rPr>
          <w:rFonts w:ascii="Arial" w:cs="Arial" w:eastAsia="Arial" w:hAnsi="Arial"/>
          <w:sz w:val="22"/>
          <w:szCs w:val="22"/>
        </w:rPr>
        <w:t xml:space="preserve">Employees are expected to be part of the business team. Therefore, in order to fulfil job requirements, they may be required to work overtime. Overtime payments shall be payable upon certain conditions listed out in this policy and upon the successful completion of the job assignment and all its required reports, paperwork and documentation.</w:t>
      </w:r>
    </w:p>
    <w:p>
      <w:pPr>
        <w:spacing w:after="200"/>
      </w:pPr>
      <w:r>
        <w:rPr>
          <w:rFonts w:ascii="Arial" w:cs="Arial" w:eastAsia="Arial" w:hAnsi="Arial"/>
          <w:b/>
          <w:bCs/>
          <w:sz w:val="22"/>
          <w:szCs w:val="22"/>
        </w:rPr>
        <w:t xml:space="preserve">Important: </w:t>
      </w:r>
      <w:r>
        <w:rPr>
          <w:rFonts w:ascii="Arial" w:cs="Arial" w:eastAsia="Arial" w:hAnsi="Arial"/>
          <w:sz w:val="22"/>
          <w:szCs w:val="22"/>
        </w:rPr>
        <w:t xml:space="preserve">Any overtime claim which does not satisfy these conditions shall be denied payment. Overtime shall be payable subject to submission of duly approved timesheets submitted through the country specific process.</w:t>
      </w:r>
    </w:p>
    <w:p>
      <w:pPr>
        <w:pStyle w:val="Heading2"/>
        <w:spacing w:before="300" w:after="150"/>
      </w:pPr>
      <w:r>
        <w:rPr>
          <w:rFonts w:ascii="Arial" w:cs="Arial" w:eastAsia="Arial" w:hAnsi="Arial"/>
          <w:b/>
          <w:bCs/>
          <w:sz w:val="24"/>
          <w:szCs w:val="24"/>
        </w:rPr>
        <w:t xml:space="preserve">7.1 Overtime Rates</w:t>
      </w:r>
    </w:p>
    <w:p>
      <w:pPr>
        <w:spacing w:after="100"/>
      </w:pPr>
      <w:r>
        <w:rPr>
          <w:rFonts w:ascii="Arial" w:cs="Arial" w:eastAsia="Arial" w:hAnsi="Arial"/>
          <w:i/>
          <w:iCs/>
          <w:color w:val="CC0000"/>
          <w:sz w:val="20"/>
          <w:szCs w:val="20"/>
        </w:rPr>
        <w:t xml:space="preserve">[ENHANCED - "General guidance only" language replaced with minimum standards]</w:t>
      </w:r>
    </w:p>
    <w:p>
      <w:pPr>
        <w:spacing w:after="200"/>
      </w:pPr>
      <w:r>
        <w:rPr>
          <w:rFonts w:ascii="Arial" w:cs="Arial" w:eastAsia="Arial" w:hAnsi="Arial"/>
          <w:sz w:val="22"/>
          <w:szCs w:val="22"/>
        </w:rPr>
        <w:t xml:space="preserve">The following framework establishes the Company's global minimum standards for overtime rates. Regional/country policies may provide additional benefits but shall not reduce these minimums. Where no regional policy exists, local statutory minimum rates shall apply. In no case shall the rate paid be less than that required by applicable law:</w:t>
      </w:r>
    </w:p>
    <w:p>
      <w:pPr>
        <w:spacing w:before="150" w:after="100"/>
      </w:pPr>
      <w:r>
        <w:rPr>
          <w:rFonts w:ascii="Arial" w:cs="Arial" w:eastAsia="Arial" w:hAnsi="Arial"/>
          <w:b/>
          <w:bCs/>
          <w:sz w:val="22"/>
          <w:szCs w:val="22"/>
        </w:rPr>
        <w:t xml:space="preserve">OT1 (1.5x hourly rate)</w:t>
      </w:r>
    </w:p>
    <w:p>
      <w:pPr>
        <w:pStyle w:val="ListParagraph"/>
        <w:numPr>
          <w:ilvl w:val="0"/>
          <w:numId w:val="1"/>
        </w:numPr>
        <w:spacing w:after="100"/>
      </w:pPr>
      <w:r>
        <w:rPr>
          <w:rFonts w:ascii="Arial" w:cs="Arial" w:eastAsia="Arial" w:hAnsi="Arial"/>
          <w:sz w:val="22"/>
          <w:szCs w:val="22"/>
        </w:rPr>
        <w:t xml:space="preserve">For weekday hours worked at customer site above 8 hours up to 12 hours</w:t>
      </w:r>
    </w:p>
    <w:p>
      <w:pPr>
        <w:pStyle w:val="ListParagraph"/>
        <w:numPr>
          <w:ilvl w:val="0"/>
          <w:numId w:val="1"/>
        </w:numPr>
        <w:spacing w:after="100"/>
      </w:pPr>
      <w:r>
        <w:rPr>
          <w:rFonts w:ascii="Arial" w:cs="Arial" w:eastAsia="Arial" w:hAnsi="Arial"/>
          <w:sz w:val="22"/>
          <w:szCs w:val="22"/>
        </w:rPr>
        <w:t xml:space="preserve">During Ramadan in applicable countries: 6-10 hours</w:t>
      </w:r>
    </w:p>
    <w:p>
      <w:pPr>
        <w:pStyle w:val="ListParagraph"/>
        <w:numPr>
          <w:ilvl w:val="0"/>
          <w:numId w:val="1"/>
        </w:numPr>
        <w:spacing w:after="100"/>
      </w:pPr>
      <w:r>
        <w:rPr>
          <w:rFonts w:ascii="Arial" w:cs="Arial" w:eastAsia="Arial" w:hAnsi="Arial"/>
          <w:sz w:val="22"/>
          <w:szCs w:val="22"/>
        </w:rPr>
        <w:t xml:space="preserve">Pre-declared Company holidays</w:t>
      </w:r>
    </w:p>
    <w:p>
      <w:pPr>
        <w:pStyle w:val="ListParagraph"/>
        <w:numPr>
          <w:ilvl w:val="0"/>
          <w:numId w:val="1"/>
        </w:numPr>
        <w:spacing w:after="100"/>
      </w:pPr>
      <w:r>
        <w:rPr>
          <w:rFonts w:ascii="Arial" w:cs="Arial" w:eastAsia="Arial" w:hAnsi="Arial"/>
          <w:sz w:val="22"/>
          <w:szCs w:val="22"/>
        </w:rPr>
        <w:t xml:space="preserve">Weekend 1 up to 12 hours</w:t>
      </w:r>
    </w:p>
    <w:p>
      <w:pPr>
        <w:spacing w:before="150" w:after="100"/>
      </w:pPr>
      <w:r>
        <w:rPr>
          <w:rFonts w:ascii="Arial" w:cs="Arial" w:eastAsia="Arial" w:hAnsi="Arial"/>
          <w:b/>
          <w:bCs/>
          <w:sz w:val="22"/>
          <w:szCs w:val="22"/>
        </w:rPr>
        <w:t xml:space="preserve">OT2 (2x hourly rate)</w:t>
      </w:r>
    </w:p>
    <w:p>
      <w:pPr>
        <w:pStyle w:val="ListParagraph"/>
        <w:numPr>
          <w:ilvl w:val="0"/>
          <w:numId w:val="1"/>
        </w:numPr>
        <w:spacing w:after="100"/>
      </w:pPr>
      <w:r>
        <w:rPr>
          <w:rFonts w:ascii="Arial" w:cs="Arial" w:eastAsia="Arial" w:hAnsi="Arial"/>
          <w:sz w:val="22"/>
          <w:szCs w:val="22"/>
        </w:rPr>
        <w:t xml:space="preserve">For weekday hours worked at customer site above 12 hours up to 14 hours</w:t>
      </w:r>
    </w:p>
    <w:p>
      <w:pPr>
        <w:pStyle w:val="ListParagraph"/>
        <w:numPr>
          <w:ilvl w:val="0"/>
          <w:numId w:val="1"/>
        </w:numPr>
        <w:spacing w:after="100"/>
      </w:pPr>
      <w:r>
        <w:rPr>
          <w:rFonts w:ascii="Arial" w:cs="Arial" w:eastAsia="Arial" w:hAnsi="Arial"/>
          <w:sz w:val="22"/>
          <w:szCs w:val="22"/>
        </w:rPr>
        <w:t xml:space="preserve">During Ramadan in applicable countries: 10-14 hours</w:t>
      </w:r>
    </w:p>
    <w:p>
      <w:pPr>
        <w:pStyle w:val="ListParagraph"/>
        <w:numPr>
          <w:ilvl w:val="0"/>
          <w:numId w:val="1"/>
        </w:numPr>
        <w:spacing w:after="100"/>
      </w:pPr>
      <w:r>
        <w:rPr>
          <w:rFonts w:ascii="Arial" w:cs="Arial" w:eastAsia="Arial" w:hAnsi="Arial"/>
          <w:sz w:val="22"/>
          <w:szCs w:val="22"/>
        </w:rPr>
        <w:t xml:space="preserve">Public holidays</w:t>
      </w:r>
    </w:p>
    <w:p>
      <w:pPr>
        <w:pStyle w:val="ListParagraph"/>
        <w:numPr>
          <w:ilvl w:val="0"/>
          <w:numId w:val="1"/>
        </w:numPr>
        <w:spacing w:after="100"/>
      </w:pPr>
      <w:r>
        <w:rPr>
          <w:rFonts w:ascii="Arial" w:cs="Arial" w:eastAsia="Arial" w:hAnsi="Arial"/>
          <w:sz w:val="22"/>
          <w:szCs w:val="22"/>
        </w:rPr>
        <w:t xml:space="preserve">Weekend 1 beyond 12 hours up to 14 hours</w:t>
      </w:r>
    </w:p>
    <w:p>
      <w:pPr>
        <w:pStyle w:val="ListParagraph"/>
        <w:numPr>
          <w:ilvl w:val="0"/>
          <w:numId w:val="1"/>
        </w:numPr>
        <w:spacing w:after="100"/>
      </w:pPr>
      <w:r>
        <w:rPr>
          <w:rFonts w:ascii="Arial" w:cs="Arial" w:eastAsia="Arial" w:hAnsi="Arial"/>
          <w:sz w:val="22"/>
          <w:szCs w:val="22"/>
        </w:rPr>
        <w:t xml:space="preserve">Weekend 2</w:t>
      </w:r>
    </w:p>
    <w:p>
      <w:pPr>
        <w:spacing w:after="200"/>
      </w:pPr>
      <w:r>
        <w:rPr>
          <w:rFonts w:ascii="Arial" w:cs="Arial" w:eastAsia="Arial" w:hAnsi="Arial"/>
          <w:i/>
          <w:iCs/>
          <w:sz w:val="22"/>
          <w:szCs w:val="22"/>
        </w:rPr>
        <w:t xml:space="preserve">Note: Hourly Rate and its calculation for overtime claims shall be approved by the immediate manager, prior to the submission of any claims. Hourly Rate calculation varies in various countries and HR works with legal teams to identify the applicable calculations. The same condition applies for the OT rate multiplier, which may differ.</w:t>
      </w:r>
    </w:p>
    <w:p>
      <w:pPr>
        <w:pStyle w:val="Heading2"/>
        <w:spacing w:before="300" w:after="150"/>
      </w:pPr>
      <w:r>
        <w:rPr>
          <w:rFonts w:ascii="Arial" w:cs="Arial" w:eastAsia="Arial" w:hAnsi="Arial"/>
          <w:b/>
          <w:bCs/>
          <w:sz w:val="24"/>
          <w:szCs w:val="24"/>
        </w:rPr>
        <w:t xml:space="preserve">7.2 Situations Where Overtime is NOT Eligible</w:t>
      </w:r>
    </w:p>
    <w:p>
      <w:pPr>
        <w:pStyle w:val="ListParagraph"/>
        <w:numPr>
          <w:ilvl w:val="0"/>
          <w:numId w:val="1"/>
        </w:numPr>
        <w:spacing w:after="100"/>
      </w:pPr>
      <w:r>
        <w:rPr>
          <w:rFonts w:ascii="Arial" w:cs="Arial" w:eastAsia="Arial" w:hAnsi="Arial"/>
          <w:i/>
          <w:iCs/>
          <w:sz w:val="22"/>
          <w:szCs w:val="22"/>
        </w:rPr>
        <w:t xml:space="preserve">Classroom-based training, Remote-Based Training</w:t>
      </w:r>
    </w:p>
    <w:p>
      <w:pPr>
        <w:pStyle w:val="ListParagraph"/>
        <w:numPr>
          <w:ilvl w:val="0"/>
          <w:numId w:val="1"/>
        </w:numPr>
        <w:spacing w:after="100"/>
      </w:pPr>
      <w:r>
        <w:rPr>
          <w:rFonts w:ascii="Arial" w:cs="Arial" w:eastAsia="Arial" w:hAnsi="Arial"/>
          <w:i/>
          <w:iCs/>
          <w:sz w:val="22"/>
          <w:szCs w:val="22"/>
        </w:rPr>
        <w:t xml:space="preserve">Reporting, online site inductions, medicals or pre/post-mobilization activities from usual place of residence</w:t>
      </w:r>
    </w:p>
    <w:p>
      <w:pPr>
        <w:pStyle w:val="ListParagraph"/>
        <w:numPr>
          <w:ilvl w:val="0"/>
          <w:numId w:val="1"/>
        </w:numPr>
        <w:spacing w:after="100"/>
      </w:pPr>
      <w:r>
        <w:rPr>
          <w:rFonts w:ascii="Arial" w:cs="Arial" w:eastAsia="Arial" w:hAnsi="Arial"/>
          <w:i/>
          <w:iCs/>
          <w:sz w:val="22"/>
          <w:szCs w:val="22"/>
        </w:rPr>
        <w:t xml:space="preserve">Attending a Baker Hughes office</w:t>
      </w:r>
    </w:p>
    <w:p>
      <w:pPr>
        <w:pStyle w:val="ListParagraph"/>
        <w:numPr>
          <w:ilvl w:val="0"/>
          <w:numId w:val="1"/>
        </w:numPr>
        <w:spacing w:after="100"/>
      </w:pPr>
      <w:r>
        <w:rPr>
          <w:rFonts w:ascii="Arial" w:cs="Arial" w:eastAsia="Arial" w:hAnsi="Arial"/>
          <w:i/>
          <w:iCs/>
          <w:sz w:val="22"/>
          <w:szCs w:val="22"/>
        </w:rPr>
        <w:t xml:space="preserve">Internal office assignments (unless pre-approved by People Leader)</w:t>
      </w:r>
    </w:p>
    <w:p>
      <w:pPr>
        <w:pStyle w:val="ListParagraph"/>
        <w:numPr>
          <w:ilvl w:val="0"/>
          <w:numId w:val="1"/>
        </w:numPr>
        <w:spacing w:after="100"/>
      </w:pPr>
      <w:r>
        <w:rPr>
          <w:rFonts w:ascii="Arial" w:cs="Arial" w:eastAsia="Arial" w:hAnsi="Arial"/>
          <w:i/>
          <w:iCs/>
          <w:sz w:val="22"/>
          <w:szCs w:val="22"/>
        </w:rPr>
        <w:t xml:space="preserve">On-the-Job (OJT) training (unless OJT candidate contributes to execution, with People Leader discretion)</w:t>
      </w:r>
    </w:p>
    <w:p>
      <w:pPr>
        <w:pStyle w:val="ListParagraph"/>
        <w:numPr>
          <w:ilvl w:val="0"/>
          <w:numId w:val="1"/>
        </w:numPr>
        <w:spacing w:after="100"/>
      </w:pPr>
      <w:r>
        <w:rPr>
          <w:rFonts w:ascii="Arial" w:cs="Arial" w:eastAsia="Arial" w:hAnsi="Arial"/>
          <w:i/>
          <w:iCs/>
          <w:sz w:val="22"/>
          <w:szCs w:val="22"/>
        </w:rPr>
        <w:t xml:space="preserve">Performing sales support activities (unless overtime is unavoidable and pre-approved by the People Leader)</w:t>
      </w:r>
    </w:p>
    <w:p>
      <w:pPr>
        <w:pStyle w:val="Heading2"/>
        <w:spacing w:before="300" w:after="150"/>
      </w:pPr>
      <w:r>
        <w:rPr>
          <w:rFonts w:ascii="Arial" w:cs="Arial" w:eastAsia="Arial" w:hAnsi="Arial"/>
          <w:b/>
          <w:bCs/>
          <w:sz w:val="24"/>
          <w:szCs w:val="24"/>
        </w:rPr>
        <w:t xml:space="preserve">7.3 Daily Safety Limit</w:t>
      </w:r>
    </w:p>
    <w:p>
      <w:pPr>
        <w:spacing w:after="200"/>
      </w:pPr>
      <w:r>
        <w:rPr>
          <w:rFonts w:ascii="Arial" w:cs="Arial" w:eastAsia="Arial" w:hAnsi="Arial"/>
          <w:sz w:val="22"/>
          <w:szCs w:val="22"/>
        </w:rPr>
        <w:t xml:space="preserve">For safety reasons, employees should not exceed a 14-hour daily limit, without prejudice to the limit set by labor law. The People Leader must be notified in all such cases. Any overtime hours worked at site should not violate local labor law and the Global HSE Procedure - Fatigue Risk Management.</w:t>
      </w:r>
    </w:p>
    <w:p>
      <w:pPr>
        <w:pStyle w:val="Heading2"/>
        <w:spacing w:before="300" w:after="150"/>
      </w:pPr>
      <w:r>
        <w:rPr>
          <w:rFonts w:ascii="Arial" w:cs="Arial" w:eastAsia="Arial" w:hAnsi="Arial"/>
          <w:b/>
          <w:bCs/>
          <w:sz w:val="24"/>
          <w:szCs w:val="24"/>
        </w:rPr>
        <w:t xml:space="preserve">7.4 Night Shifts</w:t>
      </w:r>
    </w:p>
    <w:p>
      <w:pPr>
        <w:spacing w:after="200"/>
      </w:pPr>
      <w:r>
        <w:rPr>
          <w:rFonts w:ascii="Arial" w:cs="Arial" w:eastAsia="Arial" w:hAnsi="Arial"/>
          <w:sz w:val="22"/>
          <w:szCs w:val="22"/>
        </w:rPr>
        <w:t xml:space="preserve">Night shift work is compensated in accordance with applicable law. Where local law requires night shift premiums or differentials, such requirements shall apply. Hours worked during a night shift beyond the standard workday (typically 8 hours) shall be compensated as overtime.</w:t>
      </w:r>
    </w:p>
    <w:p>
      <w:pPr>
        <w:pStyle w:val="Heading2"/>
        <w:spacing w:before="300" w:after="150"/>
      </w:pPr>
      <w:r>
        <w:rPr>
          <w:rFonts w:ascii="Arial" w:cs="Arial" w:eastAsia="Arial" w:hAnsi="Arial"/>
          <w:b/>
          <w:bCs/>
          <w:sz w:val="24"/>
          <w:szCs w:val="24"/>
        </w:rPr>
        <w:t xml:space="preserve">7.5 Overtime Claims Process</w:t>
      </w:r>
    </w:p>
    <w:p>
      <w:pPr>
        <w:spacing w:after="200"/>
      </w:pPr>
      <w:r>
        <w:rPr>
          <w:rFonts w:ascii="Arial" w:cs="Arial" w:eastAsia="Arial" w:hAnsi="Arial"/>
          <w:sz w:val="22"/>
          <w:szCs w:val="22"/>
        </w:rPr>
        <w:t xml:space="preserve">Employees must ensure that customer-signed or internally approved timesheets are attached along with the overtime claim, and that accurate overtime claim is submitted in compliance with the guidelines in this policy.</w:t>
      </w:r>
    </w:p>
    <w:p>
      <w:pPr>
        <w:spacing w:after="200"/>
      </w:pPr>
      <w:r>
        <w:rPr>
          <w:rFonts w:ascii="Arial" w:cs="Arial" w:eastAsia="Arial" w:hAnsi="Arial"/>
          <w:b/>
          <w:bCs/>
          <w:sz w:val="22"/>
          <w:szCs w:val="22"/>
        </w:rPr>
        <w:t xml:space="preserve">Critical: </w:t>
      </w:r>
      <w:r>
        <w:rPr>
          <w:rFonts w:ascii="Arial" w:cs="Arial" w:eastAsia="Arial" w:hAnsi="Arial"/>
          <w:sz w:val="22"/>
          <w:szCs w:val="22"/>
        </w:rPr>
        <w:t xml:space="preserve">Overtime claims must be submitted using the approved formal process. Any overtime claim submitted out of the approved process shall be rejected.</w:t>
      </w:r>
    </w:p>
    <w:p>
      <w:pPr>
        <w:spacing w:after="200"/>
      </w:pPr>
      <w:r>
        <w:rPr>
          <w:rFonts w:ascii="Arial" w:cs="Arial" w:eastAsia="Arial" w:hAnsi="Arial"/>
          <w:b/>
          <w:bCs/>
          <w:sz w:val="22"/>
          <w:szCs w:val="22"/>
        </w:rPr>
        <w:t xml:space="preserve">Claims for Overtime are processed via approved/signed timesheet. </w:t>
      </w:r>
      <w:r>
        <w:rPr>
          <w:rFonts w:ascii="Arial" w:cs="Arial" w:eastAsia="Arial" w:hAnsi="Arial"/>
          <w:sz w:val="22"/>
          <w:szCs w:val="22"/>
        </w:rPr>
        <w:t xml:space="preserve">The direct manager must verify alignment between the Work Order and the claim in the timesheet.</w:t>
      </w:r>
    </w:p>
    <w:p>
      <w:pPr>
        <w:pStyle w:val="Heading2"/>
        <w:spacing w:before="300" w:after="150"/>
      </w:pPr>
      <w:r>
        <w:rPr>
          <w:rFonts w:ascii="Arial" w:cs="Arial" w:eastAsia="Arial" w:hAnsi="Arial"/>
          <w:b/>
          <w:bCs/>
          <w:sz w:val="24"/>
          <w:szCs w:val="24"/>
        </w:rPr>
        <w:t xml:space="preserve">7.6 Project Assignments &amp; Fixed Price Contracts</w:t>
      </w:r>
    </w:p>
    <w:p>
      <w:pPr>
        <w:spacing w:after="200"/>
      </w:pPr>
      <w:r>
        <w:rPr>
          <w:rFonts w:ascii="Arial" w:cs="Arial" w:eastAsia="Arial" w:hAnsi="Arial"/>
          <w:sz w:val="22"/>
          <w:szCs w:val="22"/>
        </w:rPr>
        <w:t xml:space="preserve">For Project assignments or Fixed Price contracts (i.e. package of days, supporting service agreements, remote monitoring contracts or similar), employees shall not incur overtime without pre-authorization of the Contract Manager or Project Site Lead. The Contract Manager or Project Site Lead will pre-notify the employee on the total straight hours and overtime hours that are budgeted for the assigned task. For such jobs, internal timesheets must be signed by the Contract Manager or Project Site Lead and must be attached for overtime claims.</w:t>
      </w:r>
    </w:p>
    <w:p>
      <w:pPr>
        <w:pStyle w:val="Heading1"/>
        <w:spacing w:before="400" w:after="200"/>
      </w:pPr>
      <w:r>
        <w:rPr>
          <w:rFonts w:ascii="Arial" w:cs="Arial" w:eastAsia="Arial" w:hAnsi="Arial"/>
          <w:b/>
          <w:bCs/>
          <w:sz w:val="28"/>
          <w:szCs w:val="28"/>
        </w:rPr>
        <w:t xml:space="preserve">8. Offshore Rate</w:t>
      </w:r>
    </w:p>
    <w:p>
      <w:pPr>
        <w:spacing w:after="200"/>
      </w:pPr>
      <w:r>
        <w:rPr>
          <w:rFonts w:ascii="Arial" w:cs="Arial" w:eastAsia="Arial" w:hAnsi="Arial"/>
          <w:sz w:val="22"/>
          <w:szCs w:val="22"/>
        </w:rPr>
        <w:t xml:space="preserve">Employees required to work at offshore locations or artificial islands that have the same work conditions as offshore platforms may be eligible for an Offshore Rate premium for hours worked, unless government regulations require a higher rate.</w:t>
      </w:r>
    </w:p>
    <w:p>
      <w:pPr>
        <w:spacing w:after="200"/>
      </w:pPr>
      <w:r>
        <w:rPr>
          <w:rFonts w:ascii="Arial" w:cs="Arial" w:eastAsia="Arial" w:hAnsi="Arial"/>
          <w:i/>
          <w:iCs/>
          <w:sz w:val="22"/>
          <w:szCs w:val="22"/>
        </w:rPr>
        <w:t xml:space="preserve">Note: Offshore Rate percentages and eligibility criteria are defined in regional/country policies. Where no regional policy exists, refer to local HR for applicable rates.</w:t>
      </w:r>
    </w:p>
    <w:p>
      <w:pPr>
        <w:spacing w:before="150" w:after="100"/>
      </w:pPr>
      <w:r>
        <w:rPr>
          <w:rFonts w:ascii="Arial" w:cs="Arial" w:eastAsia="Arial" w:hAnsi="Arial"/>
          <w:b/>
          <w:bCs/>
          <w:sz w:val="22"/>
          <w:szCs w:val="22"/>
        </w:rPr>
        <w:t xml:space="preserve">General Offshore Provisions (where applicable):</w:t>
      </w:r>
    </w:p>
    <w:p>
      <w:pPr>
        <w:pStyle w:val="ListParagraph"/>
        <w:numPr>
          <w:ilvl w:val="0"/>
          <w:numId w:val="1"/>
        </w:numPr>
        <w:spacing w:after="100"/>
      </w:pPr>
      <w:r>
        <w:rPr>
          <w:rFonts w:ascii="Arial" w:cs="Arial" w:eastAsia="Arial" w:hAnsi="Arial"/>
          <w:sz w:val="22"/>
          <w:szCs w:val="22"/>
        </w:rPr>
        <w:t xml:space="preserve">Offshore time starts when the employee reports to customer-provided transportation and ends when the employee disembarks from customer-provided transportation</w:t>
      </w:r>
    </w:p>
    <w:p>
      <w:pPr>
        <w:pStyle w:val="ListParagraph"/>
        <w:numPr>
          <w:ilvl w:val="0"/>
          <w:numId w:val="1"/>
        </w:numPr>
        <w:spacing w:after="100"/>
      </w:pPr>
      <w:r>
        <w:rPr>
          <w:rFonts w:ascii="Arial" w:cs="Arial" w:eastAsia="Arial" w:hAnsi="Arial"/>
          <w:sz w:val="22"/>
          <w:szCs w:val="22"/>
        </w:rPr>
        <w:t xml:space="preserve">Maximum consecutive days on offshore platforms is typically four (4) weeks (28 calendar days) or as provided under customer contracts or limited by local labor laws</w:t>
      </w:r>
    </w:p>
    <w:p>
      <w:pPr>
        <w:pStyle w:val="ListParagraph"/>
        <w:numPr>
          <w:ilvl w:val="0"/>
          <w:numId w:val="1"/>
        </w:numPr>
        <w:spacing w:after="100"/>
      </w:pPr>
      <w:r>
        <w:rPr>
          <w:rFonts w:ascii="Arial" w:cs="Arial" w:eastAsia="Arial" w:hAnsi="Arial"/>
          <w:sz w:val="22"/>
          <w:szCs w:val="22"/>
        </w:rPr>
        <w:t xml:space="preserve">Days in lieu entitlements for offshore rotation are defined in regional/country policies</w:t>
      </w:r>
    </w:p>
    <w:p>
      <w:pPr>
        <w:spacing w:before="100" w:after="100"/>
      </w:pPr>
      <w:r>
        <w:rPr>
          <w:rFonts w:ascii="Arial" w:cs="Arial" w:eastAsia="Arial" w:hAnsi="Arial"/>
          <w:i/>
          <w:iCs/>
          <w:color w:val="CC0000"/>
          <w:sz w:val="20"/>
          <w:szCs w:val="20"/>
        </w:rPr>
        <w:t xml:space="preserve">[ENHANCED - Days in lieu termination provision added]</w:t>
      </w:r>
    </w:p>
    <w:p>
      <w:pPr>
        <w:pStyle w:val="ListParagraph"/>
        <w:numPr>
          <w:ilvl w:val="0"/>
          <w:numId w:val="1"/>
        </w:numPr>
        <w:spacing w:after="100"/>
      </w:pPr>
      <w:r>
        <w:rPr>
          <w:rFonts w:ascii="Arial" w:cs="Arial" w:eastAsia="Arial" w:hAnsi="Arial"/>
          <w:sz w:val="22"/>
          <w:szCs w:val="22"/>
        </w:rPr>
        <w:t xml:space="preserve">Days in lieu are intended to be taken as time off during active employment and are generally not paid out in cash. Upon termination of employment, accumulated days in lieu shall be handled in accordance with applicable law and regional policy</w:t>
      </w:r>
    </w:p>
    <w:p>
      <w:pPr>
        <w:pStyle w:val="Heading1"/>
        <w:spacing w:before="400" w:after="200"/>
      </w:pPr>
      <w:r>
        <w:rPr>
          <w:rFonts w:ascii="Arial" w:cs="Arial" w:eastAsia="Arial" w:hAnsi="Arial"/>
          <w:b/>
          <w:bCs/>
          <w:sz w:val="28"/>
          <w:szCs w:val="28"/>
        </w:rPr>
        <w:t xml:space="preserve">9. Hardship Premium</w:t>
      </w:r>
    </w:p>
    <w:p>
      <w:pPr>
        <w:spacing w:after="200"/>
      </w:pPr>
      <w:r>
        <w:rPr>
          <w:rFonts w:ascii="Arial" w:cs="Arial" w:eastAsia="Arial" w:hAnsi="Arial"/>
          <w:sz w:val="22"/>
          <w:szCs w:val="22"/>
        </w:rPr>
        <w:t xml:space="preserve">Eligible employees working at customer job sites may be entitled to a Hardship Premium when mobilized to job sites identified as hardship locations by the Company's Security Team, or if the job site does not meet minimum site accommodation requirements as per the Accommodation Guidance for Onshore-Offshore Services Employees BH-IET-HSE-065 Tier: 2.</w:t>
      </w:r>
    </w:p>
    <w:p>
      <w:pPr>
        <w:spacing w:after="200"/>
      </w:pPr>
      <w:r>
        <w:rPr>
          <w:rFonts w:ascii="Arial" w:cs="Arial" w:eastAsia="Arial" w:hAnsi="Arial"/>
          <w:i/>
          <w:iCs/>
          <w:sz w:val="22"/>
          <w:szCs w:val="22"/>
        </w:rPr>
        <w:t xml:space="preserve">Note: Hardship Premium percentages and location-specific uplifts are defined in regional/country policies. The premium is calculated as a percentage uplift on Base Pay to compensate for hardship circumstances dependent on where the work is being carried out.</w:t>
      </w:r>
    </w:p>
    <w:p>
      <w:pPr>
        <w:spacing w:before="150" w:after="100"/>
      </w:pPr>
      <w:r>
        <w:rPr>
          <w:rFonts w:ascii="Arial" w:cs="Arial" w:eastAsia="Arial" w:hAnsi="Arial"/>
          <w:b/>
          <w:bCs/>
          <w:sz w:val="22"/>
          <w:szCs w:val="22"/>
        </w:rPr>
        <w:t xml:space="preserve">General Hardship Premium Provisions (where applicable):</w:t>
      </w:r>
    </w:p>
    <w:p>
      <w:pPr>
        <w:pStyle w:val="ListParagraph"/>
        <w:numPr>
          <w:ilvl w:val="0"/>
          <w:numId w:val="1"/>
        </w:numPr>
        <w:spacing w:after="100"/>
      </w:pPr>
      <w:r>
        <w:rPr>
          <w:rFonts w:ascii="Arial" w:cs="Arial" w:eastAsia="Arial" w:hAnsi="Arial"/>
          <w:sz w:val="22"/>
          <w:szCs w:val="22"/>
        </w:rPr>
        <w:t xml:space="preserve">Hardship Premium is paid as a percentage of Base Pay in proportion to the days the employee has spent in the listed job sites</w:t>
      </w:r>
    </w:p>
    <w:p>
      <w:pPr>
        <w:pStyle w:val="ListParagraph"/>
        <w:numPr>
          <w:ilvl w:val="0"/>
          <w:numId w:val="1"/>
        </w:numPr>
        <w:spacing w:after="100"/>
      </w:pPr>
      <w:r>
        <w:rPr>
          <w:rFonts w:ascii="Arial" w:cs="Arial" w:eastAsia="Arial" w:hAnsi="Arial"/>
          <w:sz w:val="22"/>
          <w:szCs w:val="22"/>
        </w:rPr>
        <w:t xml:space="preserve">Hardship Premium will not be paid on days in lieu or travel time</w:t>
      </w:r>
    </w:p>
    <w:p>
      <w:pPr>
        <w:pStyle w:val="ListParagraph"/>
        <w:numPr>
          <w:ilvl w:val="0"/>
          <w:numId w:val="1"/>
        </w:numPr>
        <w:spacing w:after="100"/>
      </w:pPr>
      <w:r>
        <w:rPr>
          <w:rFonts w:ascii="Arial" w:cs="Arial" w:eastAsia="Arial" w:hAnsi="Arial"/>
          <w:sz w:val="22"/>
          <w:szCs w:val="22"/>
        </w:rPr>
        <w:t xml:space="preserve">Location-specific uplifts are identified in regional policy appendices and maintained by the Security Team</w:t>
      </w:r>
    </w:p>
    <w:p>
      <w:pPr>
        <w:pStyle w:val="Heading1"/>
        <w:spacing w:before="400" w:after="200"/>
      </w:pPr>
      <w:r>
        <w:rPr>
          <w:rFonts w:ascii="Arial" w:cs="Arial" w:eastAsia="Arial" w:hAnsi="Arial"/>
          <w:b/>
          <w:bCs/>
          <w:sz w:val="28"/>
          <w:szCs w:val="28"/>
        </w:rPr>
        <w:t xml:space="preserve">10. Working at Host Countries</w:t>
      </w:r>
    </w:p>
    <w:p>
      <w:pPr>
        <w:spacing w:after="200"/>
      </w:pPr>
      <w:r>
        <w:rPr>
          <w:rFonts w:ascii="Arial" w:cs="Arial" w:eastAsia="Arial" w:hAnsi="Arial"/>
          <w:sz w:val="22"/>
          <w:szCs w:val="22"/>
        </w:rPr>
        <w:t xml:space="preserve">This section addresses the situation when employees are traveling from Home Country to Host Country where different workweeks and holidays are followed.</w:t>
      </w:r>
    </w:p>
    <w:p>
      <w:pPr>
        <w:pStyle w:val="ListParagraph"/>
        <w:numPr>
          <w:ilvl w:val="0"/>
          <w:numId w:val="1"/>
        </w:numPr>
        <w:spacing w:after="100"/>
      </w:pPr>
      <w:r>
        <w:rPr>
          <w:rFonts w:ascii="Arial" w:cs="Arial" w:eastAsia="Arial" w:hAnsi="Arial"/>
          <w:sz w:val="22"/>
          <w:szCs w:val="22"/>
        </w:rPr>
        <w:t xml:space="preserve">Employees shall follow the working hours and weekend of the Host Country</w:t>
      </w:r>
    </w:p>
    <w:p>
      <w:pPr>
        <w:spacing w:before="100" w:after="100"/>
      </w:pPr>
      <w:r>
        <w:rPr>
          <w:rFonts w:ascii="Arial" w:cs="Arial" w:eastAsia="Arial" w:hAnsi="Arial"/>
          <w:i/>
          <w:iCs/>
          <w:color w:val="CC0000"/>
          <w:sz w:val="20"/>
          <w:szCs w:val="20"/>
        </w:rPr>
        <w:t xml:space="preserve">[ENHANCED - "Whichever is higher" protection added]</w:t>
      </w:r>
    </w:p>
    <w:p>
      <w:pPr>
        <w:pStyle w:val="ListParagraph"/>
        <w:numPr>
          <w:ilvl w:val="0"/>
          <w:numId w:val="1"/>
        </w:numPr>
        <w:spacing w:after="100"/>
      </w:pPr>
      <w:r>
        <w:rPr>
          <w:rFonts w:ascii="Arial" w:cs="Arial" w:eastAsia="Arial" w:hAnsi="Arial"/>
          <w:sz w:val="22"/>
          <w:szCs w:val="22"/>
        </w:rPr>
        <w:t xml:space="preserve">During the assignment at Host Country, employees shall receive overtime compensation at whichever rate is higher: (a) the applicable Home Country rate, or (b) the rate required by Host Country law. For the first three (3) weeks, the Home Country overtime structure (OT1 and OT2 days) shall apply unless Host Country law requires a higher rate</w:t>
      </w:r>
    </w:p>
    <w:p>
      <w:pPr>
        <w:pStyle w:val="ListParagraph"/>
        <w:numPr>
          <w:ilvl w:val="0"/>
          <w:numId w:val="1"/>
        </w:numPr>
        <w:spacing w:after="100"/>
      </w:pPr>
      <w:r>
        <w:rPr>
          <w:rFonts w:ascii="Arial" w:cs="Arial" w:eastAsia="Arial" w:hAnsi="Arial"/>
          <w:sz w:val="22"/>
          <w:szCs w:val="22"/>
        </w:rPr>
        <w:t xml:space="preserve">After three (3) weeks of continuous assignment in the Host Country, the Host Country overtime structure shall apply unless the Home Country rate provides greater benefit to the employee</w:t>
      </w:r>
    </w:p>
    <w:p>
      <w:pPr>
        <w:pStyle w:val="Heading1"/>
        <w:spacing w:before="400" w:after="200"/>
      </w:pPr>
      <w:r>
        <w:rPr>
          <w:rFonts w:ascii="Arial" w:cs="Arial" w:eastAsia="Arial" w:hAnsi="Arial"/>
          <w:b/>
          <w:bCs/>
          <w:sz w:val="28"/>
          <w:szCs w:val="28"/>
        </w:rPr>
        <w:t xml:space="preserve">11. Travel Time</w:t>
      </w:r>
    </w:p>
    <w:p>
      <w:pPr>
        <w:spacing w:after="100"/>
      </w:pPr>
      <w:r>
        <w:rPr>
          <w:rFonts w:ascii="Arial" w:cs="Arial" w:eastAsia="Arial" w:hAnsi="Arial"/>
          <w:i/>
          <w:iCs/>
          <w:color w:val="CC0000"/>
          <w:sz w:val="20"/>
          <w:szCs w:val="20"/>
        </w:rPr>
        <w:t xml:space="preserve">[ENHANCED - Premium pay requirements clarified]</w:t>
      </w:r>
    </w:p>
    <w:p>
      <w:pPr>
        <w:spacing w:after="200"/>
      </w:pPr>
      <w:r>
        <w:rPr>
          <w:rFonts w:ascii="Arial" w:cs="Arial" w:eastAsia="Arial" w:hAnsi="Arial"/>
          <w:sz w:val="22"/>
          <w:szCs w:val="22"/>
        </w:rPr>
        <w:t xml:space="preserve">Travel time is generally compensated at the standard (1x) rate. Where local law or applicable CBA requires premium rates for travel time (including travel on rest days, holidays, or outside normal working hours), such requirements shall apply. Refer to regional/country policies for specific provisions.</w:t>
      </w:r>
    </w:p>
    <w:p>
      <w:pPr>
        <w:pStyle w:val="Heading1"/>
        <w:spacing w:before="400" w:after="200"/>
      </w:pPr>
      <w:r>
        <w:rPr>
          <w:rFonts w:ascii="Arial" w:cs="Arial" w:eastAsia="Arial" w:hAnsi="Arial"/>
          <w:b/>
          <w:bCs/>
          <w:sz w:val="28"/>
          <w:szCs w:val="28"/>
        </w:rPr>
        <w:t xml:space="preserve">12. Fatigue Risk Management</w:t>
      </w:r>
    </w:p>
    <w:p>
      <w:pPr>
        <w:spacing w:after="200"/>
      </w:pPr>
      <w:r>
        <w:rPr>
          <w:rFonts w:ascii="Arial" w:cs="Arial" w:eastAsia="Arial" w:hAnsi="Arial"/>
          <w:sz w:val="22"/>
          <w:szCs w:val="22"/>
        </w:rPr>
        <w:t xml:space="preserve">Employees and managers must adhere to the Global HSE Procedure - Fatigue Risk Management. This procedure is applicable for service operations and sites where shift work is performed and Service Personnel who are not on shift work but are required to attend to call-ins/outs that exceed the daily working hours' limit.</w:t>
      </w:r>
    </w:p>
    <w:p>
      <w:pPr>
        <w:pStyle w:val="Heading1"/>
        <w:spacing w:before="400" w:after="200"/>
      </w:pPr>
      <w:r>
        <w:rPr>
          <w:rFonts w:ascii="Arial" w:cs="Arial" w:eastAsia="Arial" w:hAnsi="Arial"/>
          <w:b/>
          <w:bCs/>
          <w:sz w:val="28"/>
          <w:szCs w:val="28"/>
        </w:rPr>
        <w:t xml:space="preserve">13. Travel &amp; Expenses</w:t>
      </w:r>
    </w:p>
    <w:p>
      <w:pPr>
        <w:spacing w:after="200"/>
      </w:pPr>
      <w:r>
        <w:rPr>
          <w:rFonts w:ascii="Arial" w:cs="Arial" w:eastAsia="Arial" w:hAnsi="Arial"/>
          <w:sz w:val="22"/>
          <w:szCs w:val="22"/>
        </w:rPr>
        <w:t xml:space="preserve">Employees must minimize allowance claims in accordance with the Global Policy - Travel and Expense and discuss planned expenditure with their manager in advance where possible.</w:t>
      </w:r>
    </w:p>
    <w:p>
      <w:pPr>
        <w:pStyle w:val="Heading1"/>
        <w:spacing w:before="400" w:after="200"/>
      </w:pPr>
      <w:r>
        <w:rPr>
          <w:rFonts w:ascii="Arial" w:cs="Arial" w:eastAsia="Arial" w:hAnsi="Arial"/>
          <w:b/>
          <w:bCs/>
          <w:sz w:val="28"/>
          <w:szCs w:val="28"/>
        </w:rPr>
        <w:t xml:space="preserve">14. Job Performance</w:t>
      </w:r>
    </w:p>
    <w:p>
      <w:pPr>
        <w:spacing w:after="100"/>
      </w:pPr>
      <w:r>
        <w:rPr>
          <w:rFonts w:ascii="Arial" w:cs="Arial" w:eastAsia="Arial" w:hAnsi="Arial"/>
          <w:b/>
          <w:bCs/>
          <w:i/>
          <w:iCs/>
          <w:color w:val="CC0000"/>
          <w:sz w:val="20"/>
          <w:szCs w:val="20"/>
        </w:rPr>
        <w:t xml:space="preserve">[CRITICAL ENHANCEMENT - Payment withholding language replaced with compliant language]</w:t>
      </w:r>
    </w:p>
    <w:p>
      <w:pPr>
        <w:spacing w:after="200"/>
      </w:pPr>
      <w:r>
        <w:rPr>
          <w:rFonts w:ascii="Arial" w:cs="Arial" w:eastAsia="Arial" w:hAnsi="Arial"/>
          <w:sz w:val="22"/>
          <w:szCs w:val="22"/>
        </w:rPr>
        <w:t xml:space="preserve">It is the responsibility of the People Leader to verify job performance. Overtime payments for hours actually worked shall be paid in accordance with applicable law. Performance issues, including those listed below, shall be addressed through the Company's performance management and disciplinary processes, separate from wage payment. Nothing in this section shall be construed to permit withholding of wages for hours actually worked where prohibited by applicable law. Performance issues include, but are not limited to:</w:t>
      </w:r>
    </w:p>
    <w:p>
      <w:pPr>
        <w:spacing w:after="100"/>
        <w:ind w:left="360"/>
      </w:pPr>
      <w:r>
        <w:rPr>
          <w:rFonts w:ascii="Arial" w:cs="Arial" w:eastAsia="Arial" w:hAnsi="Arial"/>
          <w:sz w:val="22"/>
          <w:szCs w:val="22"/>
        </w:rPr>
        <w:t xml:space="preserve">1. HSE and/or quality performance issues</w:t>
      </w:r>
    </w:p>
    <w:p>
      <w:pPr>
        <w:spacing w:after="100"/>
        <w:ind w:left="360"/>
      </w:pPr>
      <w:r>
        <w:rPr>
          <w:rFonts w:ascii="Arial" w:cs="Arial" w:eastAsia="Arial" w:hAnsi="Arial"/>
          <w:sz w:val="22"/>
          <w:szCs w:val="22"/>
        </w:rPr>
        <w:t xml:space="preserve">2. Missing job documentation for invoicing, customer or job specific requirements (invoicing documentation to be verified by customer services team)</w:t>
      </w:r>
    </w:p>
    <w:p>
      <w:pPr>
        <w:spacing w:after="100"/>
        <w:ind w:left="360"/>
      </w:pPr>
      <w:r>
        <w:rPr>
          <w:rFonts w:ascii="Arial" w:cs="Arial" w:eastAsia="Arial" w:hAnsi="Arial"/>
          <w:sz w:val="22"/>
          <w:szCs w:val="22"/>
        </w:rPr>
        <w:t xml:space="preserve">3. Unsatisfactory customer evaluation</w:t>
      </w:r>
    </w:p>
    <w:p>
      <w:pPr>
        <w:spacing w:after="100"/>
        <w:ind w:left="360"/>
      </w:pPr>
      <w:r>
        <w:rPr>
          <w:rFonts w:ascii="Arial" w:cs="Arial" w:eastAsia="Arial" w:hAnsi="Arial"/>
          <w:sz w:val="22"/>
          <w:szCs w:val="22"/>
        </w:rPr>
        <w:t xml:space="preserve">4. Non-Productive Time ("NPT"), unless it is deemed to be beyond the control of the employee</w:t>
      </w:r>
    </w:p>
    <w:p>
      <w:pPr>
        <w:spacing w:after="100"/>
        <w:ind w:left="360"/>
      </w:pPr>
      <w:r>
        <w:rPr>
          <w:rFonts w:ascii="Arial" w:cs="Arial" w:eastAsia="Arial" w:hAnsi="Arial"/>
          <w:sz w:val="22"/>
          <w:szCs w:val="22"/>
        </w:rPr>
        <w:t xml:space="preserve">5. Violation of applicable Company policies during the course of running a commercial job</w:t>
      </w:r>
    </w:p>
    <w:p>
      <w:pPr>
        <w:spacing w:after="200"/>
      </w:pPr>
      <w:r>
        <w:rPr>
          <w:rFonts w:ascii="Arial" w:cs="Arial" w:eastAsia="Arial" w:hAnsi="Arial"/>
          <w:sz w:val="22"/>
          <w:szCs w:val="22"/>
        </w:rPr>
        <w:t xml:space="preserve">If an employee is determined to have violated Company policy, including an incident that results in an injury or a vehicle accident, performance issues shall be addressed through appropriate performance management and disciplinary procedures. Issues and/or concerns with job performance shall be addressed by the People Leader with support from Human Resources.</w:t>
      </w:r>
    </w:p>
    <w:p>
      <w:pPr>
        <w:pStyle w:val="Heading1"/>
        <w:spacing w:before="400" w:after="200"/>
      </w:pPr>
      <w:r>
        <w:rPr>
          <w:rFonts w:ascii="Arial" w:cs="Arial" w:eastAsia="Arial" w:hAnsi="Arial"/>
          <w:b/>
          <w:bCs/>
          <w:sz w:val="28"/>
          <w:szCs w:val="28"/>
        </w:rPr>
        <w:t xml:space="preserve">15. Payment</w:t>
      </w:r>
    </w:p>
    <w:p>
      <w:pPr>
        <w:spacing w:after="200"/>
      </w:pPr>
      <w:r>
        <w:rPr>
          <w:rFonts w:ascii="Arial" w:cs="Arial" w:eastAsia="Arial" w:hAnsi="Arial"/>
          <w:sz w:val="22"/>
          <w:szCs w:val="22"/>
        </w:rPr>
        <w:t xml:space="preserve">Payments will be made to the employee in accordance with payroll processing guidelines after written approval by the employee's N+1 Manager, as well as a second approval at a level equivalent to the employee's N+1 Manager or higher (where applicable) (e.g., N+2 Manager or Indirect Manager) as designated by the business in the region.</w:t>
      </w:r>
    </w:p>
    <w:p>
      <w:pPr>
        <w:spacing w:after="200"/>
      </w:pPr>
      <w:r>
        <w:rPr>
          <w:rFonts w:ascii="Arial" w:cs="Arial" w:eastAsia="Arial" w:hAnsi="Arial"/>
          <w:b/>
          <w:bCs/>
          <w:sz w:val="22"/>
          <w:szCs w:val="22"/>
        </w:rPr>
        <w:t xml:space="preserve">Claim Submission Timeline: </w:t>
      </w:r>
      <w:r>
        <w:rPr>
          <w:rFonts w:ascii="Arial" w:cs="Arial" w:eastAsia="Arial" w:hAnsi="Arial"/>
          <w:sz w:val="22"/>
          <w:szCs w:val="22"/>
        </w:rPr>
        <w:t xml:space="preserve">The claim process should be triggered at least three (3) working days before the monthly cut-off date provided by the payroll team to allow time for approval and avoid delays of disbursement until next payment cycle.</w:t>
      </w:r>
    </w:p>
    <w:p>
      <w:pPr>
        <w:spacing w:after="100"/>
      </w:pPr>
      <w:r>
        <w:rPr>
          <w:rFonts w:ascii="Arial" w:cs="Arial" w:eastAsia="Arial" w:hAnsi="Arial"/>
          <w:i/>
          <w:iCs/>
          <w:color w:val="CC0000"/>
          <w:sz w:val="20"/>
          <w:szCs w:val="20"/>
        </w:rPr>
        <w:t xml:space="preserve">[ENHANCED - Statutory rights protection added]</w:t>
      </w:r>
    </w:p>
    <w:p>
      <w:pPr>
        <w:spacing w:after="200"/>
      </w:pPr>
      <w:r>
        <w:rPr>
          <w:rFonts w:ascii="Arial" w:cs="Arial" w:eastAsia="Arial" w:hAnsi="Arial"/>
          <w:b/>
          <w:bCs/>
          <w:sz w:val="22"/>
          <w:szCs w:val="22"/>
        </w:rPr>
        <w:t xml:space="preserve">Submission Deadline: </w:t>
      </w:r>
      <w:r>
        <w:rPr>
          <w:rFonts w:ascii="Arial" w:cs="Arial" w:eastAsia="Arial" w:hAnsi="Arial"/>
          <w:sz w:val="22"/>
          <w:szCs w:val="22"/>
        </w:rPr>
        <w:t xml:space="preserve">Claims should be submitted within two (2) months of work performed to ensure timely processing. Late submissions will be processed subject to verification and management approval. Nothing in this provision limits an employee's statutory rights to claim wages within applicable legal limitation periods.</w:t>
      </w:r>
    </w:p>
    <w:p>
      <w:pPr>
        <w:spacing w:after="200"/>
      </w:pPr>
      <w:r>
        <w:rPr>
          <w:rFonts w:ascii="Arial" w:cs="Arial" w:eastAsia="Arial" w:hAnsi="Arial"/>
          <w:b/>
          <w:bCs/>
          <w:sz w:val="22"/>
          <w:szCs w:val="22"/>
        </w:rPr>
        <w:t xml:space="preserve">Discrepancy Warning: </w:t>
      </w:r>
      <w:r>
        <w:rPr>
          <w:rFonts w:ascii="Arial" w:cs="Arial" w:eastAsia="Arial" w:hAnsi="Arial"/>
          <w:sz w:val="22"/>
          <w:szCs w:val="22"/>
        </w:rPr>
        <w:t xml:space="preserve">Any unjustified discrepancy found between submitted claims and actual working hours / conditions is a serious violation and may warrant disciplinary action in accordance with Company procedures and applicable law.</w:t>
      </w:r>
    </w:p>
    <w:p>
      <w:pPr>
        <w:spacing w:after="100"/>
      </w:pPr>
      <w:r>
        <w:rPr>
          <w:rFonts w:ascii="Arial" w:cs="Arial" w:eastAsia="Arial" w:hAnsi="Arial"/>
          <w:b/>
          <w:bCs/>
          <w:sz w:val="22"/>
          <w:szCs w:val="22"/>
        </w:rPr>
        <w:t xml:space="preserve">The payments will:</w:t>
      </w:r>
    </w:p>
    <w:p>
      <w:pPr>
        <w:pStyle w:val="ListParagraph"/>
        <w:numPr>
          <w:ilvl w:val="0"/>
          <w:numId w:val="1"/>
        </w:numPr>
        <w:spacing w:after="100"/>
      </w:pPr>
      <w:r>
        <w:rPr>
          <w:rFonts w:ascii="Arial" w:cs="Arial" w:eastAsia="Arial" w:hAnsi="Arial"/>
          <w:sz w:val="22"/>
          <w:szCs w:val="22"/>
        </w:rPr>
        <w:t xml:space="preserve">Be considered as income and are subject to appropriate taxation</w:t>
      </w:r>
    </w:p>
    <w:p>
      <w:pPr>
        <w:pStyle w:val="ListParagraph"/>
        <w:numPr>
          <w:ilvl w:val="0"/>
          <w:numId w:val="1"/>
        </w:numPr>
        <w:spacing w:after="100"/>
      </w:pPr>
      <w:r>
        <w:rPr>
          <w:rFonts w:ascii="Arial" w:cs="Arial" w:eastAsia="Arial" w:hAnsi="Arial"/>
          <w:sz w:val="22"/>
          <w:szCs w:val="22"/>
        </w:rPr>
        <w:t xml:space="preserve">Not be grossed up for tax purposes</w:t>
      </w:r>
    </w:p>
    <w:p>
      <w:pPr>
        <w:pStyle w:val="Heading1"/>
        <w:spacing w:before="400" w:after="200"/>
      </w:pPr>
      <w:r>
        <w:rPr>
          <w:rFonts w:ascii="Arial" w:cs="Arial" w:eastAsia="Arial" w:hAnsi="Arial"/>
          <w:b/>
          <w:bCs/>
          <w:sz w:val="28"/>
          <w:szCs w:val="28"/>
        </w:rPr>
        <w:t xml:space="preserve">16. Consequences</w:t>
      </w:r>
    </w:p>
    <w:p>
      <w:pPr>
        <w:spacing w:after="100"/>
      </w:pPr>
      <w:r>
        <w:rPr>
          <w:rFonts w:ascii="Arial" w:cs="Arial" w:eastAsia="Arial" w:hAnsi="Arial"/>
          <w:b/>
          <w:bCs/>
          <w:i/>
          <w:iCs/>
          <w:color w:val="CC0000"/>
          <w:sz w:val="20"/>
          <w:szCs w:val="20"/>
        </w:rPr>
        <w:t xml:space="preserve">[CRITICAL ENHANCEMENT - Deduction language replaced with compliant language]</w:t>
      </w:r>
    </w:p>
    <w:p>
      <w:pPr>
        <w:spacing w:after="200"/>
      </w:pPr>
      <w:r>
        <w:rPr>
          <w:rFonts w:ascii="Arial" w:cs="Arial" w:eastAsia="Arial" w:hAnsi="Arial"/>
          <w:sz w:val="22"/>
          <w:szCs w:val="22"/>
        </w:rPr>
        <w:t xml:space="preserve">Performance issues shall be addressed through appropriate performance management processes in accordance with the Job Performance section above. Any deductions from wages shall only be made where expressly permitted by applicable law and in accordance with required legal procedures.</w:t>
      </w:r>
    </w:p>
    <w:p>
      <w:pPr>
        <w:spacing w:after="200"/>
      </w:pPr>
      <w:r>
        <w:rPr>
          <w:rFonts w:ascii="Arial" w:cs="Arial" w:eastAsia="Arial" w:hAnsi="Arial"/>
          <w:b/>
          <w:bCs/>
          <w:sz w:val="22"/>
          <w:szCs w:val="22"/>
        </w:rPr>
        <w:t xml:space="preserve">Failure to accurately report work time to the Company is a serious violation and may warrant disciplinary action in accordance with Company procedures and applicable law.</w:t>
      </w:r>
    </w:p>
    <w:p>
      <w:pPr>
        <w:spacing w:after="200"/>
      </w:pPr>
      <w:r>
        <w:rPr>
          <w:rFonts w:ascii="Arial" w:cs="Arial" w:eastAsia="Arial" w:hAnsi="Arial"/>
          <w:sz w:val="22"/>
          <w:szCs w:val="22"/>
        </w:rPr>
        <w:t xml:space="preserve">People Leaders who do not verify that time reporting is accurate may also be deemed in violation of this policy and subject to disciplinary action in accordance with Company procedures.</w:t>
      </w:r>
    </w:p>
    <w:p>
      <w:pPr>
        <w:spacing w:after="200"/>
      </w:pPr>
      <w:r>
        <w:rPr>
          <w:rFonts w:ascii="Arial" w:cs="Arial" w:eastAsia="Arial" w:hAnsi="Arial"/>
          <w:sz w:val="22"/>
          <w:szCs w:val="22"/>
        </w:rPr>
        <w:t xml:space="preserve">Employees are also expected to know and have reviewed this policy, and all pay policies that are applicable to them and to comply with their requirements, including pre-approval for all additional time worked. All hours worked will be paid, but any overtime hours worked without pre-approval may be addressed through management processes. Employees shall not be disciplined for working overtime where such work was operationally necessary, requested by customers, or required for safety reasons.</w:t>
      </w:r>
    </w:p>
    <w:p>
      <w:pPr>
        <w:pStyle w:val="Heading1"/>
        <w:spacing w:before="400" w:after="200"/>
      </w:pPr>
      <w:r>
        <w:rPr>
          <w:rFonts w:ascii="Arial" w:cs="Arial" w:eastAsia="Arial" w:hAnsi="Arial"/>
          <w:b/>
          <w:bCs/>
          <w:sz w:val="28"/>
          <w:szCs w:val="28"/>
        </w:rPr>
        <w:t xml:space="preserve">17. Exceptions</w:t>
      </w:r>
    </w:p>
    <w:p>
      <w:pPr>
        <w:spacing w:after="200"/>
      </w:pPr>
      <w:r>
        <w:rPr>
          <w:rFonts w:ascii="Arial" w:cs="Arial" w:eastAsia="Arial" w:hAnsi="Arial"/>
          <w:sz w:val="22"/>
          <w:szCs w:val="22"/>
        </w:rPr>
        <w:t xml:space="preserve">Any exceptions to this policy require written approval from the appropriate Regional HR Director and appropriate Segment Director.</w:t>
      </w:r>
    </w:p>
    <w:p>
      <w:pPr>
        <w:spacing w:after="200"/>
      </w:pPr>
      <w:r>
        <w:rPr>
          <w:rFonts w:ascii="Arial" w:cs="Arial" w:eastAsia="Arial" w:hAnsi="Arial"/>
          <w:sz w:val="22"/>
          <w:szCs w:val="22"/>
        </w:rPr>
        <w:t xml:space="preserve">Exceptions shall be submitted to Global Records Management via MySupport.</w:t>
      </w:r>
    </w:p>
    <w:p>
      <w:pPr>
        <w:pStyle w:val="Heading1"/>
        <w:spacing w:before="400" w:after="200"/>
      </w:pPr>
      <w:r>
        <w:rPr>
          <w:rFonts w:ascii="Arial" w:cs="Arial" w:eastAsia="Arial" w:hAnsi="Arial"/>
          <w:b/>
          <w:bCs/>
          <w:sz w:val="28"/>
          <w:szCs w:val="28"/>
        </w:rPr>
        <w:t xml:space="preserve">18. Severability</w:t>
      </w:r>
    </w:p>
    <w:p>
      <w:pPr>
        <w:spacing w:after="100"/>
      </w:pPr>
      <w:r>
        <w:rPr>
          <w:rFonts w:ascii="Arial" w:cs="Arial" w:eastAsia="Arial" w:hAnsi="Arial"/>
          <w:i/>
          <w:iCs/>
          <w:color w:val="CC0000"/>
          <w:sz w:val="20"/>
          <w:szCs w:val="20"/>
        </w:rPr>
        <w:t xml:space="preserve">[NEW SECTION ADDED]</w:t>
      </w:r>
    </w:p>
    <w:p>
      <w:pPr>
        <w:spacing w:after="200"/>
      </w:pPr>
      <w:r>
        <w:rPr>
          <w:rFonts w:ascii="Arial" w:cs="Arial" w:eastAsia="Arial" w:hAnsi="Arial"/>
          <w:sz w:val="22"/>
          <w:szCs w:val="22"/>
        </w:rPr>
        <w:t xml:space="preserve">If any provision of this policy is found to be invalid, illegal, or unenforceable by any court or competent authority, such provision shall be modified to the minimum extent necessary to make it valid and enforceable, or if modification is not possible, shall be severed from this policy. The validity, legality, and enforceability of the remaining provisions shall not be affected or impaired.</w:t>
      </w:r>
    </w:p>
    <w:p>
      <w:pPr>
        <w:pStyle w:val="Heading1"/>
        <w:spacing w:before="400" w:after="200"/>
      </w:pPr>
      <w:r>
        <w:rPr>
          <w:rFonts w:ascii="Arial" w:cs="Arial" w:eastAsia="Arial" w:hAnsi="Arial"/>
          <w:b/>
          <w:bCs/>
          <w:sz w:val="28"/>
          <w:szCs w:val="28"/>
        </w:rPr>
        <w:t xml:space="preserve">19. Resources</w:t>
      </w:r>
    </w:p>
    <w:p>
      <w:pPr>
        <w:pStyle w:val="ListParagraph"/>
        <w:numPr>
          <w:ilvl w:val="0"/>
          <w:numId w:val="1"/>
        </w:numPr>
        <w:spacing w:after="100"/>
      </w:pPr>
      <w:r>
        <w:rPr>
          <w:rFonts w:ascii="Arial" w:cs="Arial" w:eastAsia="Arial" w:hAnsi="Arial"/>
          <w:sz w:val="22"/>
          <w:szCs w:val="22"/>
        </w:rPr>
        <w:t xml:space="preserve">MySupport - Access HR Policies &amp; Resources and submit a request to HR</w:t>
      </w:r>
    </w:p>
    <w:p>
      <w:pPr>
        <w:pStyle w:val="ListParagraph"/>
        <w:numPr>
          <w:ilvl w:val="0"/>
          <w:numId w:val="1"/>
        </w:numPr>
        <w:spacing w:after="100"/>
      </w:pPr>
      <w:r>
        <w:rPr>
          <w:rFonts w:ascii="Arial" w:cs="Arial" w:eastAsia="Arial" w:hAnsi="Arial"/>
          <w:sz w:val="22"/>
          <w:szCs w:val="22"/>
        </w:rPr>
        <w:t xml:space="preserve">MyID - Benefits Hub via MyApps</w:t>
      </w:r>
    </w:p>
    <w:p>
      <w:pPr>
        <w:pStyle w:val="ListParagraph"/>
        <w:numPr>
          <w:ilvl w:val="0"/>
          <w:numId w:val="1"/>
        </w:numPr>
        <w:spacing w:after="100"/>
      </w:pPr>
      <w:r>
        <w:rPr>
          <w:rFonts w:ascii="Arial" w:cs="Arial" w:eastAsia="Arial" w:hAnsi="Arial"/>
          <w:sz w:val="22"/>
          <w:szCs w:val="22"/>
        </w:rPr>
        <w:t xml:space="preserve">Benefits Queries</w:t>
      </w:r>
    </w:p>
    <w:p>
      <w:pPr>
        <w:pStyle w:val="ListParagraph"/>
        <w:numPr>
          <w:ilvl w:val="0"/>
          <w:numId w:val="1"/>
        </w:numPr>
        <w:spacing w:after="100"/>
      </w:pPr>
      <w:r>
        <w:rPr>
          <w:rFonts w:ascii="Arial" w:cs="Arial" w:eastAsia="Arial" w:hAnsi="Arial"/>
          <w:sz w:val="22"/>
          <w:szCs w:val="22"/>
        </w:rPr>
        <w:t xml:space="preserve">Compensation Queries (Field)</w:t>
      </w:r>
    </w:p>
    <w:p>
      <w:pPr>
        <w:pStyle w:val="ListParagraph"/>
        <w:numPr>
          <w:ilvl w:val="0"/>
          <w:numId w:val="1"/>
        </w:numPr>
        <w:spacing w:after="100"/>
      </w:pPr>
      <w:r>
        <w:rPr>
          <w:rFonts w:ascii="Arial" w:cs="Arial" w:eastAsia="Arial" w:hAnsi="Arial"/>
          <w:sz w:val="22"/>
          <w:szCs w:val="22"/>
        </w:rPr>
        <w:t xml:space="preserve">Baker Hughes Enterprise Security Site</w:t>
      </w:r>
    </w:p>
    <w:p>
      <w:pPr>
        <w:pStyle w:val="Heading1"/>
        <w:spacing w:before="400" w:after="200"/>
      </w:pPr>
      <w:r>
        <w:rPr>
          <w:rFonts w:ascii="Arial" w:cs="Arial" w:eastAsia="Arial" w:hAnsi="Arial"/>
          <w:b/>
          <w:bCs/>
          <w:sz w:val="28"/>
          <w:szCs w:val="28"/>
        </w:rPr>
        <w:t xml:space="preserve">20. References</w:t>
      </w:r>
    </w:p>
    <w:p>
      <w:pPr>
        <w:pStyle w:val="ListParagraph"/>
        <w:numPr>
          <w:ilvl w:val="0"/>
          <w:numId w:val="1"/>
        </w:numPr>
        <w:spacing w:after="100"/>
      </w:pPr>
      <w:r>
        <w:rPr>
          <w:rFonts w:ascii="Arial" w:cs="Arial" w:eastAsia="Arial" w:hAnsi="Arial"/>
          <w:sz w:val="22"/>
          <w:szCs w:val="22"/>
        </w:rPr>
        <w:t xml:space="preserve">Accommodation Guidance for Onshore-Offshore Services Employees BH-IET-HSE-065 Tier: 2 (available on Alfresco)</w:t>
      </w:r>
    </w:p>
    <w:p>
      <w:pPr>
        <w:pStyle w:val="ListParagraph"/>
        <w:numPr>
          <w:ilvl w:val="0"/>
          <w:numId w:val="1"/>
        </w:numPr>
        <w:spacing w:after="100"/>
      </w:pPr>
      <w:r>
        <w:rPr>
          <w:rFonts w:ascii="Arial" w:cs="Arial" w:eastAsia="Arial" w:hAnsi="Arial"/>
          <w:sz w:val="22"/>
          <w:szCs w:val="22"/>
        </w:rPr>
        <w:t xml:space="preserve">Global HSE Procedure - Fatigue Risk Management BH-HSE-010 (available on HSE Policies &amp; Procedures site)</w:t>
      </w:r>
    </w:p>
    <w:p>
      <w:pPr>
        <w:pStyle w:val="ListParagraph"/>
        <w:numPr>
          <w:ilvl w:val="0"/>
          <w:numId w:val="1"/>
        </w:numPr>
        <w:spacing w:after="100"/>
      </w:pPr>
      <w:r>
        <w:rPr>
          <w:rFonts w:ascii="Arial" w:cs="Arial" w:eastAsia="Arial" w:hAnsi="Arial"/>
          <w:sz w:val="22"/>
          <w:szCs w:val="22"/>
        </w:rPr>
        <w:t xml:space="preserve">Global Policy - Travel and Expense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C0000"/>
        <w:sz w:val="18"/>
        <w:szCs w:val="18"/>
      </w:rPr>
      <w:t xml:space="preserve">ENHANCED VERSION - </w:t>
    </w: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20"/>
        <w:szCs w:val="20"/>
      </w:rPr>
      <w:t xml:space="preserve">Global Policy – Pay Practices for Cordant Solutions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28"/>
      <w:szCs w:val="28"/>
    </w:rPr>
  </w:style>
  <w:style w:type="paragraph" w:styleId="Heading2">
    <w:name w:val="Heading 2"/>
    <w:basedOn w:val="Normal"/>
    <w:next w:val="Normal"/>
    <w:qFormat/>
    <w:pPr>
      <w:spacing w:before="300" w:after="15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2026-01-20T14:29:04.473Z</dcterms:created>
  <dcterms:modified xsi:type="dcterms:W3CDTF">2026-01-20T14:29:04.474Z</dcterms:modified>
</cp:coreProperties>
</file>

<file path=docProps/custom.xml><?xml version="1.0" encoding="utf-8"?>
<Properties xmlns="http://schemas.openxmlformats.org/officeDocument/2006/custom-properties" xmlns:vt="http://schemas.openxmlformats.org/officeDocument/2006/docPropsVTypes"/>
</file>