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media/image2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Acoustic-Based Failure Analysis of Power Transformers Using Multi-Modal Feature Fusion and Physics-Informed Representation Learning</w:t>
      </w:r>
    </w:p>
    <w:p>
      <w:pPr>
        <w:pStyle w:val="AbstractTitle"/>
        <w:rPr/>
      </w:pPr>
      <w:r>
        <w:rPr/>
        <w:t>Abstract</w:t>
      </w:r>
    </w:p>
    <w:p>
      <w:pPr>
        <w:pStyle w:val="Abstract"/>
        <w:rPr/>
      </w:pPr>
      <w:r>
        <w:rPr/>
        <w:t>Accurate fault diagnosis of power transformers is critical for power system reliability. While acoustic-based diagnosis offers non-contact measurement and low sensor cost, existing methods struggle with single-modality representations, background noise, and limited labeled data. This paper proposes a multi-modal framework integrating Mel spectrograms with Gramian Angular Difference Fields (GADF) into three-channel fused representations, enhanced by a Pulse-Coupled Neural Network (PCNN) for noise suppression. A physics-informed Laplacian regularization, derived from the acoustic Helmholtz equation, constrains learned features toward physically smooth solutions. Evaluated on a real-world transformer dataset of five conditions with session-aware data partitioning, the method is validated through component-wise ablation and comparative studies against representative baselines. The proposed framework achieves state-of-the-art accuracy and maintains robust performance under low signal-to-noise ratio conditions, outperforming seven representative methods including Vision Transformer, EfficientNet, Swin Transformer, and end-to-end 1D-CNN.</w:t>
      </w:r>
    </w:p>
    <w:p>
      <w:pPr>
        <w:pStyle w:val="FirstParagraph"/>
        <w:rPr/>
      </w:pPr>
      <w:r>
        <w:rPr/>
        <w:t>Transformer fault diagnosis, Mel spectrogram, Gramian Angular Difference Field, Pulse-Coupled Neural Network, Physics-informed representation learning, Acoustic signal processing</w:t>
      </w:r>
    </w:p>
    <w:p>
      <w:pPr>
        <w:pStyle w:val="Heading1"/>
        <w:rPr/>
      </w:pPr>
      <w:bookmarkStart w:id="0" w:name="introduction"/>
      <w:r>
        <w:rPr/>
        <w:t>Introduction</w:t>
      </w:r>
    </w:p>
    <w:p>
      <w:pPr>
        <w:pStyle w:val="FirstParagraph"/>
        <w:rPr/>
      </w:pPr>
      <w:r>
        <w:rPr/>
        <w:t>Power transformers are critical assets in modern electrical power systems, and the continuous monitoring of their operational condition is essential for maintaining grid safety, reliability, and stability [1, 2]. Among various diagnostic modalities, acoustic-based (voiceprint) methods have attracted considerable research attention owing to their non-contact measurement capability, ease of deployment, and low transducer cost. However, effective fault diagnosis from acoustic signals requires addressing three fundamental challenges: (i) single-modality time–frequency representations capture only partial fault signatures, limiting discriminative power; (ii) real-world substation environments introduce substantial background noise that degrades classification reliability; and (iii) the scarcity of labeled fault data in practical settings constrains the generalization capability of purely data-driven models.</w:t>
      </w:r>
    </w:p>
    <w:p>
      <w:pPr>
        <w:pStyle w:val="TextBody"/>
        <w:rPr/>
      </w:pPr>
      <w:r>
        <w:rPr/>
        <w:t>To extract informative representations from acoustic signals, a variety of time–frequency analysis techniques have been explored. The Mel spectrogram, which emulates the non-linear frequency perception of the human auditory system, has been widely adopted for voiceprint-based transformer monitoring [3, 4]. Wavelet transform-based denoising has been employed to enhance partial discharge signal recognition [5], while Short-Time Fourier Transform (STFT) analysis has been applied to characterize transformer winding impulse responses [6]. More recently, Gramian Angular Field (GAF) encoding has been introduced to transform one-dimensional vibration signals into two-dimensional image representations that preserve temporal correlation structure [7]. Despite these advances, methods relying on a single feature representation inherently struggle to capture the multi-faceted nature of fault signatures, as different fault mechanisms manifest in distinct spectral, temporal, and energy-domain characteristics.</w:t>
      </w:r>
    </w:p>
    <w:p>
      <w:pPr>
        <w:pStyle w:val="TextBody"/>
        <w:rPr/>
      </w:pPr>
      <w:r>
        <w:rPr/>
        <w:t>Concurrently, deep learning architectures have been extensively investigated for transformer fault classification. Convolutional neural networks (CNNs) operating on spectrogram images [8], as well as probabilistic and shallow learning models [9, 10], have demonstrated promising results. More recently, advanced architectures such as Vision Transformers (ViT) [11], EfficientNet [12], and Swin Transformer [13] have set new performance benchmarks in image classification, yet their application to acoustic transformer diagnosis remains underexplored. A critical limitation of conventional deep learning pipelines is their purely data-driven nature: without physical guidance, these models are prone to overfitting on small datasets and exhibit degraded performance under distribution shifts caused by varying noise conditions.</w:t>
      </w:r>
    </w:p>
    <w:p>
      <w:pPr>
        <w:pStyle w:val="TextBody"/>
        <w:rPr/>
      </w:pPr>
      <w:r>
        <w:rPr/>
        <w:t xml:space="preserve">Physics-Informed Neural Networks (PINNs) offer a principled framework for integrating domain knowledge into the learning process [14, 15]. By augmenting the empirical loss with physics-derived regularization terms, PINNs can learn physically consistent representations even when training data are limited or noisy. This paradigm has been successfully applied to dissolved gas analysis [16], wind turbine monitoring [17], and various scientific computing tasks [18]. In the context of acoustic transformer diagnosis, the relevant physics arises from sound wave propagation; i.e., the acoustic pressure field </w:t>
      </w:r>
      <w:r>
        <w:rPr/>
      </w:r>
      <m:oMath xmlns:m="http://schemas.openxmlformats.org/officeDocument/2006/math">
        <m:r>
          <m:t xml:space="preserve">p</m:t>
        </m:r>
        <m:d>
          <m:dPr>
            <m:begChr m:val="("/>
            <m:endChr m:val=")"/>
          </m:dPr>
          <m:e>
            <m:r>
              <m:t xml:space="preserve">x</m:t>
            </m:r>
            <m:r>
              <m:t xml:space="preserve">,</m:t>
            </m:r>
            <m:r>
              <m:t xml:space="preserve">t</m:t>
            </m:r>
          </m:e>
        </m:d>
      </m:oMath>
      <w:r>
        <w:rPr/>
        <w:t xml:space="preserve"> within the transformer tank obeys the wave equation, which under time-harmonic excitation reduces to the Helmholtz equation </w:t>
      </w:r>
      <w:r>
        <w:rPr/>
      </w:r>
      <m:oMath xmlns:m="http://schemas.openxmlformats.org/officeDocument/2006/math">
        <m:sSup>
          <m:e>
            <m:r>
              <m:t xml:space="preserve">∇</m:t>
            </m:r>
          </m:e>
          <m:sup>
            <m:r>
              <m:t xml:space="preserve">2</m:t>
            </m:r>
          </m:sup>
        </m:sSup>
        <m:r>
          <m:t xml:space="preserve">p</m:t>
        </m:r>
        <m:r>
          <m:t xml:space="preserve">+</m:t>
        </m:r>
        <m:sSup>
          <m:e>
            <m:r>
              <m:t xml:space="preserve">k</m:t>
            </m:r>
          </m:e>
          <m:sup>
            <m:r>
              <m:t xml:space="preserve">2</m:t>
            </m:r>
          </m:sup>
        </m:sSup>
        <m:r>
          <m:t xml:space="preserve">p</m:t>
        </m:r>
        <m:r>
          <m:t xml:space="preserve">=</m:t>
        </m:r>
        <m:r>
          <m:t xml:space="preserve">0</m:t>
        </m:r>
      </m:oMath>
      <w:r>
        <w:rPr/>
        <w:t xml:space="preserve">, where </w:t>
      </w:r>
      <w:r>
        <w:rPr/>
      </w:r>
      <m:oMath xmlns:m="http://schemas.openxmlformats.org/officeDocument/2006/math">
        <m:r>
          <m:t xml:space="preserve">k</m:t>
        </m:r>
        <m:r>
          <m:t xml:space="preserve">=</m:t>
        </m:r>
        <m:f>
          <m:fPr>
            <m:type m:val="lin"/>
          </m:fPr>
          <m:num>
            <m:r>
              <m:t xml:space="preserve">ω</m:t>
            </m:r>
          </m:num>
          <m:den>
            <m:r>
              <m:t xml:space="preserve">c</m:t>
            </m:r>
          </m:den>
        </m:f>
      </m:oMath>
      <w:r>
        <w:rPr/>
        <w:t xml:space="preserve"> is the wavenumber. In source-free regions of the domain, where the acoustic wavelength is large relative to the spatial variation of the pressure field, the Helmholtz equation further simplifies to the Laplace equation </w:t>
      </w:r>
      <w:r>
        <w:rPr/>
      </w:r>
      <m:oMath xmlns:m="http://schemas.openxmlformats.org/officeDocument/2006/math">
        <m:sSup>
          <m:e>
            <m:r>
              <m:t xml:space="preserve">∇</m:t>
            </m:r>
          </m:e>
          <m:sup>
            <m:r>
              <m:t xml:space="preserve">2</m:t>
            </m:r>
          </m:sup>
        </m:sSup>
        <m:r>
          <m:t xml:space="preserve">p</m:t>
        </m:r>
        <m:r>
          <m:t xml:space="preserve">≈</m:t>
        </m:r>
        <m:r>
          <m:t xml:space="preserve">0</m:t>
        </m:r>
      </m:oMath>
      <w:r>
        <w:rPr/>
        <w:t>. This physical prior, i.e., that fault-free acoustic fields are spatially smooth, motivates a Laplacian regularization constraint that penalizes high-frequency artifacts in the learned feature representations, thereby encouraging the network to focus on physically meaningful, fault-induced deviations from smoothness.</w:t>
      </w:r>
    </w:p>
    <w:p>
      <w:pPr>
        <w:pStyle w:val="TextBody"/>
        <w:rPr/>
      </w:pPr>
      <w:r>
        <w:rPr/>
        <w:t>In this paper, we propose a comprehensive framework that addresses the three aforementioned challenges through synergistic integration of multi-modal feature fusion, biologically inspired denoising, and physics-informed representation learning. The principal contributions are:</w:t>
      </w:r>
    </w:p>
    <w:p>
      <w:pPr>
        <w:pStyle w:val="Normal"/>
        <w:numPr>
          <w:ilvl w:val="0"/>
          <w:numId w:val="11"/>
        </w:numPr>
        <w:rPr/>
      </w:pPr>
      <w:r>
        <w:rPr>
          <w:b/>
          <w:bCs/>
        </w:rPr>
        <w:t>Multi-modal fusion and PCNN enhancement:</w:t>
      </w:r>
      <w:r>
        <w:rPr/>
        <w:t xml:space="preserve"> A three-channel representation combining Mel spectrograms, Gramian Angular Difference Fields, and their pixel-wise difference is constructed to capture complementary spectral and temporal fault signatures. Gamma correction (</w:t>
      </w:r>
      <w:r>
        <w:rPr/>
      </w:r>
      <m:oMath xmlns:m="http://schemas.openxmlformats.org/officeDocument/2006/math">
        <m:r>
          <m:t xml:space="preserve">γ</m:t>
        </m:r>
        <m:r>
          <m:t xml:space="preserve">=</m:t>
        </m:r>
        <m:r>
          <m:t xml:space="preserve">1.7</m:t>
        </m:r>
      </m:oMath>
      <w:r>
        <w:rPr/>
        <w:t>) enhances low-energy regions, while a Pulse-Coupled Neural Network suppresses background noise through synchronized neuronal firing dynamics.</w:t>
      </w:r>
    </w:p>
    <w:p>
      <w:pPr>
        <w:pStyle w:val="Normal"/>
        <w:numPr>
          <w:ilvl w:val="0"/>
          <w:numId w:val="2"/>
        </w:numPr>
        <w:rPr/>
      </w:pPr>
      <w:r>
        <w:rPr>
          <w:b/>
          <w:bCs/>
        </w:rPr>
        <w:t>Physics-informed representation learning:</w:t>
      </w:r>
      <w:r>
        <w:rPr/>
        <w:t xml:space="preserve"> A Laplacian smoothness regularization, derived from the acoustic Helmholtz equation under the source-free approximation, is incorporated into the training objective. Unlike conventional PINN formulations requiring PDE solving at collocation points, the proposed approach enforces physical consistency directly in the learned feature space, enabling efficient integration with standard CNN pipelines.</w:t>
      </w:r>
    </w:p>
    <w:p>
      <w:pPr>
        <w:pStyle w:val="Normal"/>
        <w:numPr>
          <w:ilvl w:val="0"/>
          <w:numId w:val="2"/>
        </w:numPr>
        <w:rPr/>
      </w:pPr>
      <w:r>
        <w:rPr>
          <w:b/>
          <w:bCs/>
        </w:rPr>
        <w:t>Rigorous experimental validation:</w:t>
      </w:r>
      <w:r>
        <w:rPr/>
        <w:t xml:space="preserve"> Component-wise ablation, five-fold cross-validation, hyperparameter sensitivity analysis, noise robustness tests across multiple SNR levels, and comparison with seven representative methods (ViT, EfficientNet, Swin Transformer, ConvNeXt, and end-to-end 1D-CNN) collectively demonstrate state-of-the-art performance and confirm the contribution of each proposed component.</w:t>
      </w:r>
    </w:p>
    <w:p>
      <w:pPr>
        <w:pStyle w:val="FirstParagraph"/>
        <w:rPr/>
      </w:pPr>
      <w:r>
        <w:rPr/>
        <w:t>The remainder of this paper is organized as follows. Section 2 describes the time–frequency representation methods. Section 3 presents the feature extraction and fusion pipeline. Section 4 formulates the physics-informed learning framework. Section 5 reports the experimental setup and comprehensive results. Section 6 concludes the paper.</w:t>
      </w:r>
    </w:p>
    <w:p>
      <w:pPr>
        <w:pStyle w:val="TextBody"/>
        <w:rPr/>
      </w:pPr>
      <w:r>
        <w:rPr/>
        <w:t>The overall framework is illustrated in Fig. </w:t>
      </w:r>
      <w:hyperlink w:anchor="fig0">
        <w:r>
          <w:rPr>
            <w:rStyle w:val="InternetLink"/>
          </w:rPr>
          <w:t>1</w:t>
        </w:r>
      </w:hyperlink>
      <w:r>
        <w:rPr/>
        <w:t>.</w:t>
      </w:r>
    </w:p>
    <w:p>
      <w:pPr>
        <w:pStyle w:val="CaptionedFigure"/>
        <w:rPr/>
      </w:pPr>
      <w:r>
        <w:rPr/>
        <w:drawing>
          <wp:inline distT="0" distB="0" distL="0" distR="0">
            <wp:extent cx="5334000" cy="107505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tretch>
                      <a:fillRect/>
                    </a:stretch>
                  </pic:blipFill>
                  <pic:spPr bwMode="auto">
                    <a:xfrm>
                      <a:off x="0" y="0"/>
                      <a:ext cx="5334000" cy="1075055"/>
                    </a:xfrm>
                    <a:prstGeom prst="rect">
                      <a:avLst/>
                    </a:prstGeom>
                  </pic:spPr>
                </pic:pic>
              </a:graphicData>
            </a:graphic>
          </wp:inline>
        </w:drawing>
      </w:r>
    </w:p>
    <w:p>
      <w:pPr>
        <w:pStyle w:val="ImageCaption"/>
        <w:rPr/>
      </w:pPr>
      <w:r>
        <w:rPr/>
        <w:t>Fig. </w:t>
      </w:r>
      <w:hyperlink w:anchor="fig0">
        <w:r>
          <w:rPr>
            <w:rStyle w:val="InternetLink"/>
          </w:rPr>
          <w:t>1</w:t>
        </w:r>
      </w:hyperlink>
      <w:r>
        <w:rPr>
          <w:rStyle w:val="InternetLink"/>
        </w:rPr>
        <w:t xml:space="preserve"> </w:t>
      </w:r>
      <w:r>
        <w:rPr/>
        <w:t>Overall framework of the proposed transformer fault diagnosis method. The pipeline consists of four stages: (1) multi-modal time–frequency representation via Mel spectrogram and GADF, (2) three-channel feature fusion with gamma correction, (3) PCNN-based feature enhancement, and (4) physics-informed AlexNet-SE classification with Laplacian regularization.</w:t>
      </w:r>
      <w:bookmarkEnd w:id="0"/>
    </w:p>
    <w:p>
      <w:pPr>
        <w:pStyle w:val="Heading1"/>
        <w:rPr/>
      </w:pPr>
      <w:bookmarkStart w:id="1" w:name="time-frequency-domain-representation"/>
      <w:r>
        <w:rPr/>
        <w:t>Time-Frequency Domain Representation</w:t>
      </w:r>
    </w:p>
    <w:p>
      <w:pPr>
        <w:pStyle w:val="Heading2"/>
        <w:rPr/>
      </w:pPr>
      <w:bookmarkStart w:id="2" w:name="subsec1"/>
      <w:r>
        <w:rPr/>
        <w:t>Mel Spectrogram</w:t>
      </w:r>
    </w:p>
    <w:p>
      <w:pPr>
        <w:pStyle w:val="FirstParagraph"/>
        <w:rPr/>
      </w:pPr>
      <w:r>
        <w:rPr/>
        <w:t xml:space="preserve">The Mel spectrogram emulates the non-linear frequency perception of the human auditory system, which is more sensitive to low-frequency variations than to high-frequency changes [19, 20]. The transformation from linear frequency </w:t>
      </w:r>
      <w:r>
        <w:rPr/>
      </w:r>
      <m:oMath xmlns:m="http://schemas.openxmlformats.org/officeDocument/2006/math">
        <m:r>
          <m:t xml:space="preserve">f</m:t>
        </m:r>
      </m:oMath>
      <w:r>
        <w:rPr/>
        <w:t xml:space="preserve"> (Hz) to the Mel scale is given by [21, 22], i.e.,</w:t>
      </w:r>
    </w:p>
    <w:p>
      <w:pPr>
        <w:pStyle w:val="TextBody"/>
        <w:jc w:val="center"/>
        <w:rPr/>
      </w:pPr>
      <w:r>
        <w:rPr/>
      </w:r>
      <m:oMath xmlns:m="http://schemas.openxmlformats.org/officeDocument/2006/math">
        <m:sSub>
          <m:e>
            <m:r>
              <m:t xml:space="preserve">f</m:t>
            </m:r>
          </m:e>
          <m:sub>
            <m:r>
              <m:rPr>
                <m:lit/>
                <m:nor/>
              </m:rPr>
              <m:t xml:space="preserve">mel</m:t>
            </m:r>
          </m:sub>
        </m:sSub>
        <m:r>
          <m:t xml:space="preserve">=</m:t>
        </m:r>
        <m:r>
          <m:t xml:space="preserve">2595</m:t>
        </m:r>
        <m:sSub>
          <m:e>
            <m:r>
              <m:t xml:space="preserve">log</m:t>
            </m:r>
          </m:e>
          <m:sub>
            <m:r>
              <m:t xml:space="preserve">10</m:t>
            </m:r>
          </m:sub>
        </m:sSub>
        <m:d>
          <m:dPr>
            <m:begChr m:val="("/>
            <m:endChr m:val=")"/>
          </m:dPr>
          <m:e>
            <m:r>
              <m:t xml:space="preserve">1</m:t>
            </m:r>
            <m:r>
              <m:t xml:space="preserve">+</m:t>
            </m:r>
            <m:f>
              <m:num>
                <m:r>
                  <m:t xml:space="preserve">f</m:t>
                </m:r>
              </m:num>
              <m:den>
                <m:r>
                  <m:t xml:space="preserve">700</m:t>
                </m:r>
              </m:den>
            </m:f>
          </m:e>
        </m:d>
      </m:oMath>
      <w:r>
        <w:rPr/>
        <w:tab/>
      </w:r>
      <w:r>
        <w:rPr/>
        <w:t>(1)</w:t>
      </w:r>
    </w:p>
    <w:p>
      <w:pPr>
        <w:pStyle w:val="FirstParagraph"/>
        <w:rPr/>
      </w:pPr>
      <w:r>
        <w:rPr/>
        <w:t xml:space="preserve">where </w:t>
      </w:r>
      <w:r>
        <w:rPr/>
      </w:r>
      <m:oMath xmlns:m="http://schemas.openxmlformats.org/officeDocument/2006/math">
        <m:sSub>
          <m:e>
            <m:r>
              <m:t xml:space="preserve">f</m:t>
            </m:r>
          </m:e>
          <m:sub>
            <m:r>
              <m:rPr>
                <m:lit/>
                <m:nor/>
              </m:rPr>
              <m:t xml:space="preserve">mel</m:t>
            </m:r>
          </m:sub>
        </m:sSub>
      </m:oMath>
      <w:r>
        <w:rPr/>
        <w:t xml:space="preserve"> is the perceived frequency on the Mel scale. As the physical frequency increases, the Mel-scale frequency increases sub-linearly, yielding higher spectral resolution in low-frequency bands where transformer acoustic fault signatures are predominantly concentrated [23]. This perceptual scaling motivates the choice of the Mel spectrogram as the primary spectral representation.</w:t>
      </w:r>
    </w:p>
    <w:p>
      <w:pPr>
        <w:pStyle w:val="TextBody"/>
        <w:rPr/>
      </w:pPr>
      <w:r>
        <w:rPr/>
        <w:t xml:space="preserve">For each 1-second segment of the transformer acoustic signal, the short-time Fourier transform (STFT) is computed using a Hamming window of 25 ms with 50% overlap, yielding a linear-frequency spectrogram. This spectrogram is subsequently processed through a Mel filter bank consisting of 128 triangular filters uniformly spaced on the Mel scale. Each filter overlaps with its neighbors such that the lower corner frequency of one filter coincides with the center frequency of the preceding filter [24]. The </w:t>
      </w:r>
      <w:r>
        <w:rPr/>
      </w:r>
      <m:oMath xmlns:m="http://schemas.openxmlformats.org/officeDocument/2006/math">
        <m:r>
          <m:t xml:space="preserve">m</m:t>
        </m:r>
      </m:oMath>
      <w:r>
        <w:rPr/>
        <w:t xml:space="preserve">-th triangular filter </w:t>
      </w:r>
      <w:r>
        <w:rPr/>
      </w:r>
      <m:oMath xmlns:m="http://schemas.openxmlformats.org/officeDocument/2006/math">
        <m:sSub>
          <m:e>
            <m:r>
              <m:t xml:space="preserve">H</m:t>
            </m:r>
          </m:e>
          <m:sub>
            <m:r>
              <m:t xml:space="preserve">m</m:t>
            </m:r>
          </m:sub>
        </m:sSub>
        <m:d>
          <m:dPr>
            <m:begChr m:val="("/>
            <m:endChr m:val=")"/>
          </m:dPr>
          <m:e>
            <m:r>
              <m:t xml:space="preserve">k</m:t>
            </m:r>
          </m:e>
        </m:d>
      </m:oMath>
      <w:r>
        <w:rPr/>
        <w:t xml:space="preserve"> is defined as:</w:t>
      </w:r>
    </w:p>
    <w:p>
      <w:pPr>
        <w:pStyle w:val="TextBody"/>
        <w:jc w:val="center"/>
        <w:rPr/>
      </w:pPr>
      <w:r>
        <w:rPr/>
      </w:r>
      <m:oMath xmlns:m="http://schemas.openxmlformats.org/officeDocument/2006/math">
        <m:sSub>
          <m:e>
            <m:r>
              <m:t xml:space="preserve">H</m:t>
            </m:r>
          </m:e>
          <m:sub>
            <m:r>
              <m:t xml:space="preserve">m</m:t>
            </m:r>
          </m:sub>
        </m:sSub>
        <m:d>
          <m:dPr>
            <m:begChr m:val="("/>
            <m:endChr m:val=")"/>
          </m:dPr>
          <m:e>
            <m:r>
              <m:t xml:space="preserve">k</m:t>
            </m:r>
          </m:e>
        </m:d>
        <m:r>
          <m:t xml:space="preserve">=</m:t>
        </m:r>
        <m:d>
          <m:dPr>
            <m:begChr m:val="{"/>
            <m:endChr m:val=")"/>
          </m:dPr>
          <m:e>
            <m:m>
              <m:mr>
                <m:e>
                  <m:r>
                    <m:t xml:space="preserve">0</m:t>
                  </m:r>
                  <m:r>
                    <m:t xml:space="preserve">,</m:t>
                  </m:r>
                </m:e>
                <m:e>
                  <m:r>
                    <m:t xml:space="preserve">k</m:t>
                  </m:r>
                  <m:r>
                    <m:t xml:space="preserve">&lt;</m:t>
                  </m:r>
                  <m:r>
                    <m:t xml:space="preserve">f</m:t>
                  </m:r>
                  <m:d>
                    <m:dPr>
                      <m:begChr m:val="("/>
                      <m:endChr m:val=")"/>
                    </m:dPr>
                    <m:e>
                      <m:r>
                        <m:t xml:space="preserve">m</m:t>
                      </m:r>
                      <m:r>
                        <m:t xml:space="preserve">−</m:t>
                      </m:r>
                      <m:r>
                        <m:t xml:space="preserve">1</m:t>
                      </m:r>
                    </m:e>
                  </m:d>
                </m:e>
              </m:mr>
              <m:mr>
                <m:e>
                  <m:f>
                    <m:num>
                      <m:r>
                        <m:t xml:space="preserve">k</m:t>
                      </m:r>
                      <m:r>
                        <m:t xml:space="preserve">−</m:t>
                      </m:r>
                      <m:r>
                        <m:t xml:space="preserve">f</m:t>
                      </m:r>
                      <m:d>
                        <m:dPr>
                          <m:begChr m:val="("/>
                          <m:endChr m:val=")"/>
                        </m:dPr>
                        <m:e>
                          <m:r>
                            <m:t xml:space="preserve">m</m:t>
                          </m:r>
                          <m:r>
                            <m:t xml:space="preserve">−</m:t>
                          </m:r>
                          <m:r>
                            <m:t xml:space="preserve">1</m:t>
                          </m:r>
                        </m:e>
                      </m:d>
                    </m:num>
                    <m:den>
                      <m:r>
                        <m:t xml:space="preserve">f</m:t>
                      </m:r>
                      <m:d>
                        <m:dPr>
                          <m:begChr m:val="("/>
                          <m:endChr m:val=")"/>
                        </m:dPr>
                        <m:e>
                          <m:r>
                            <m:t xml:space="preserve">m</m:t>
                          </m:r>
                        </m:e>
                      </m:d>
                      <m:r>
                        <m:t xml:space="preserve">−</m:t>
                      </m:r>
                      <m:r>
                        <m:t xml:space="preserve">f</m:t>
                      </m:r>
                      <m:d>
                        <m:dPr>
                          <m:begChr m:val="("/>
                          <m:endChr m:val=")"/>
                        </m:dPr>
                        <m:e>
                          <m:r>
                            <m:t xml:space="preserve">m</m:t>
                          </m:r>
                          <m:r>
                            <m:t xml:space="preserve">−</m:t>
                          </m:r>
                          <m:r>
                            <m:t xml:space="preserve">1</m:t>
                          </m:r>
                        </m:e>
                      </m:d>
                    </m:den>
                  </m:f>
                  <m:r>
                    <m:t xml:space="preserve">,</m:t>
                  </m:r>
                </m:e>
                <m:e>
                  <m:r>
                    <m:t xml:space="preserve">f</m:t>
                  </m:r>
                  <m:d>
                    <m:dPr>
                      <m:begChr m:val="("/>
                      <m:endChr m:val=")"/>
                    </m:dPr>
                    <m:e>
                      <m:r>
                        <m:t xml:space="preserve">m</m:t>
                      </m:r>
                      <m:r>
                        <m:t xml:space="preserve">−</m:t>
                      </m:r>
                      <m:r>
                        <m:t xml:space="preserve">1</m:t>
                      </m:r>
                    </m:e>
                  </m:d>
                  <m:r>
                    <m:t xml:space="preserve">≤</m:t>
                  </m:r>
                  <m:r>
                    <m:t xml:space="preserve">k</m:t>
                  </m:r>
                  <m:r>
                    <m:t xml:space="preserve">&lt;</m:t>
                  </m:r>
                  <m:r>
                    <m:t xml:space="preserve">f</m:t>
                  </m:r>
                  <m:d>
                    <m:dPr>
                      <m:begChr m:val="("/>
                      <m:endChr m:val=")"/>
                    </m:dPr>
                    <m:e>
                      <m:r>
                        <m:t xml:space="preserve">m</m:t>
                      </m:r>
                    </m:e>
                  </m:d>
                </m:e>
              </m:mr>
              <m:mr>
                <m:e>
                  <m:r>
                    <m:t xml:space="preserve">1</m:t>
                  </m:r>
                  <m:r>
                    <m:t xml:space="preserve">,</m:t>
                  </m:r>
                </m:e>
                <m:e>
                  <m:r>
                    <m:t xml:space="preserve">k</m:t>
                  </m:r>
                  <m:r>
                    <m:t xml:space="preserve">=</m:t>
                  </m:r>
                  <m:r>
                    <m:t xml:space="preserve">f</m:t>
                  </m:r>
                  <m:d>
                    <m:dPr>
                      <m:begChr m:val="("/>
                      <m:endChr m:val=")"/>
                    </m:dPr>
                    <m:e>
                      <m:r>
                        <m:t xml:space="preserve">m</m:t>
                      </m:r>
                    </m:e>
                  </m:d>
                </m:e>
              </m:mr>
              <m:mr>
                <m:e>
                  <m:f>
                    <m:num>
                      <m:r>
                        <m:t xml:space="preserve">f</m:t>
                      </m:r>
                      <m:d>
                        <m:dPr>
                          <m:begChr m:val="("/>
                          <m:endChr m:val=")"/>
                        </m:dPr>
                        <m:e>
                          <m:r>
                            <m:t xml:space="preserve">m</m:t>
                          </m:r>
                          <m:r>
                            <m:t xml:space="preserve">+</m:t>
                          </m:r>
                          <m:r>
                            <m:t xml:space="preserve">1</m:t>
                          </m:r>
                        </m:e>
                      </m:d>
                      <m:r>
                        <m:t xml:space="preserve">−</m:t>
                      </m:r>
                      <m:r>
                        <m:t xml:space="preserve">k</m:t>
                      </m:r>
                    </m:num>
                    <m:den>
                      <m:r>
                        <m:t xml:space="preserve">f</m:t>
                      </m:r>
                      <m:d>
                        <m:dPr>
                          <m:begChr m:val="("/>
                          <m:endChr m:val=")"/>
                        </m:dPr>
                        <m:e>
                          <m:r>
                            <m:t xml:space="preserve">m</m:t>
                          </m:r>
                          <m:r>
                            <m:t xml:space="preserve">+</m:t>
                          </m:r>
                          <m:r>
                            <m:t xml:space="preserve">1</m:t>
                          </m:r>
                        </m:e>
                      </m:d>
                      <m:r>
                        <m:t xml:space="preserve">−</m:t>
                      </m:r>
                      <m:r>
                        <m:t xml:space="preserve">f</m:t>
                      </m:r>
                      <m:d>
                        <m:dPr>
                          <m:begChr m:val="("/>
                          <m:endChr m:val=")"/>
                        </m:dPr>
                        <m:e>
                          <m:r>
                            <m:t xml:space="preserve">m</m:t>
                          </m:r>
                        </m:e>
                      </m:d>
                    </m:den>
                  </m:f>
                  <m:r>
                    <m:t xml:space="preserve">,</m:t>
                  </m:r>
                </m:e>
                <m:e>
                  <m:r>
                    <m:t xml:space="preserve">f</m:t>
                  </m:r>
                  <m:d>
                    <m:dPr>
                      <m:begChr m:val="("/>
                      <m:endChr m:val=")"/>
                    </m:dPr>
                    <m:e>
                      <m:r>
                        <m:t xml:space="preserve">m</m:t>
                      </m:r>
                    </m:e>
                  </m:d>
                  <m:r>
                    <m:t xml:space="preserve">&lt;</m:t>
                  </m:r>
                  <m:r>
                    <m:t xml:space="preserve">k</m:t>
                  </m:r>
                  <m:r>
                    <m:t xml:space="preserve">≤</m:t>
                  </m:r>
                  <m:r>
                    <m:t xml:space="preserve">f</m:t>
                  </m:r>
                  <m:d>
                    <m:dPr>
                      <m:begChr m:val="("/>
                      <m:endChr m:val=")"/>
                    </m:dPr>
                    <m:e>
                      <m:r>
                        <m:t xml:space="preserve">m</m:t>
                      </m:r>
                      <m:r>
                        <m:t xml:space="preserve">+</m:t>
                      </m:r>
                      <m:r>
                        <m:t xml:space="preserve">1</m:t>
                      </m:r>
                    </m:e>
                  </m:d>
                </m:e>
              </m:mr>
              <m:mr>
                <m:e>
                  <m:r>
                    <m:t xml:space="preserve">0</m:t>
                  </m:r>
                  <m:r>
                    <m:t xml:space="preserve">,</m:t>
                  </m:r>
                </m:e>
                <m:e>
                  <m:r>
                    <m:t xml:space="preserve">k</m:t>
                  </m:r>
                  <m:r>
                    <m:t xml:space="preserve">&gt;</m:t>
                  </m:r>
                  <m:r>
                    <m:t xml:space="preserve">f</m:t>
                  </m:r>
                  <m:d>
                    <m:dPr>
                      <m:begChr m:val="("/>
                      <m:endChr m:val=")"/>
                    </m:dPr>
                    <m:e>
                      <m:r>
                        <m:t xml:space="preserve">m</m:t>
                      </m:r>
                      <m:r>
                        <m:t xml:space="preserve">+</m:t>
                      </m:r>
                      <m:r>
                        <m:t xml:space="preserve">1</m:t>
                      </m:r>
                    </m:e>
                  </m:d>
                </m:e>
              </m:mr>
            </m:m>
          </m:e>
        </m:d>
      </m:oMath>
      <w:r>
        <w:rPr/>
        <w:tab/>
      </w:r>
      <w:r>
        <w:rPr/>
        <w:t>(2)</w:t>
      </w:r>
    </w:p>
    <w:p>
      <w:pPr>
        <w:pStyle w:val="FirstParagraph"/>
        <w:rPr/>
      </w:pPr>
      <w:r>
        <w:rPr/>
        <w:t xml:space="preserve">where </w:t>
      </w:r>
      <w:r>
        <w:rPr/>
      </w:r>
      <m:oMath xmlns:m="http://schemas.openxmlformats.org/officeDocument/2006/math">
        <m:sSub>
          <m:e>
            <m:r>
              <m:t xml:space="preserve">H</m:t>
            </m:r>
          </m:e>
          <m:sub>
            <m:r>
              <m:t xml:space="preserve">m</m:t>
            </m:r>
          </m:sub>
        </m:sSub>
        <m:d>
          <m:dPr>
            <m:begChr m:val="("/>
            <m:endChr m:val=")"/>
          </m:dPr>
          <m:e>
            <m:r>
              <m:t xml:space="preserve">k</m:t>
            </m:r>
          </m:e>
        </m:d>
      </m:oMath>
      <w:r>
        <w:rPr/>
        <w:t xml:space="preserve"> represents the response of the </w:t>
      </w:r>
      <w:r>
        <w:rPr/>
      </w:r>
      <m:oMath xmlns:m="http://schemas.openxmlformats.org/officeDocument/2006/math">
        <m:r>
          <m:t xml:space="preserve">m</m:t>
        </m:r>
      </m:oMath>
      <w:r>
        <w:rPr/>
        <w:t xml:space="preserve">-th filter at frequency bin </w:t>
      </w:r>
      <w:r>
        <w:rPr/>
      </w:r>
      <m:oMath xmlns:m="http://schemas.openxmlformats.org/officeDocument/2006/math">
        <m:r>
          <m:t xml:space="preserve">k</m:t>
        </m:r>
      </m:oMath>
      <w:r>
        <w:rPr/>
        <w:t xml:space="preserve">, and </w:t>
      </w:r>
      <w:r>
        <w:rPr/>
      </w:r>
      <m:oMath xmlns:m="http://schemas.openxmlformats.org/officeDocument/2006/math">
        <m:r>
          <m:t xml:space="preserve">f</m:t>
        </m:r>
        <m:d>
          <m:dPr>
            <m:begChr m:val="("/>
            <m:endChr m:val=")"/>
          </m:dPr>
          <m:e>
            <m:r>
              <m:t xml:space="preserve">m</m:t>
            </m:r>
            <m:r>
              <m:t xml:space="preserve">−</m:t>
            </m:r>
            <m:r>
              <m:t xml:space="preserve">1</m:t>
            </m:r>
          </m:e>
        </m:d>
      </m:oMath>
      <w:r>
        <w:rPr/>
        <w:t xml:space="preserve">, </w:t>
      </w:r>
      <w:r>
        <w:rPr/>
      </w:r>
      <m:oMath xmlns:m="http://schemas.openxmlformats.org/officeDocument/2006/math">
        <m:r>
          <m:t xml:space="preserve">f</m:t>
        </m:r>
        <m:d>
          <m:dPr>
            <m:begChr m:val="("/>
            <m:endChr m:val=")"/>
          </m:dPr>
          <m:e>
            <m:r>
              <m:t xml:space="preserve">m</m:t>
            </m:r>
          </m:e>
        </m:d>
      </m:oMath>
      <w:r>
        <w:rPr/>
        <w:t xml:space="preserve">, and </w:t>
      </w:r>
      <w:r>
        <w:rPr/>
      </w:r>
      <m:oMath xmlns:m="http://schemas.openxmlformats.org/officeDocument/2006/math">
        <m:r>
          <m:t xml:space="preserve">f</m:t>
        </m:r>
        <m:d>
          <m:dPr>
            <m:begChr m:val="("/>
            <m:endChr m:val=")"/>
          </m:dPr>
          <m:e>
            <m:r>
              <m:t xml:space="preserve">m</m:t>
            </m:r>
            <m:r>
              <m:t xml:space="preserve">+</m:t>
            </m:r>
            <m:r>
              <m:t xml:space="preserve">1</m:t>
            </m:r>
          </m:e>
        </m:d>
      </m:oMath>
      <w:r>
        <w:rPr/>
        <w:t xml:space="preserve"> denote the lower corner, center, and upper corner frequencies, respectively. The resulting Mel spectrogram for a transformer under normal operating conditions is illustrated in Fig. </w:t>
      </w:r>
      <w:hyperlink w:anchor="fig1">
        <w:r>
          <w:rPr>
            <w:rStyle w:val="InternetLink"/>
          </w:rPr>
          <w:t>2</w:t>
        </w:r>
      </w:hyperlink>
      <w:r>
        <w:rPr/>
        <w:t>.</w:t>
      </w:r>
    </w:p>
    <w:tbl>
      <w:tblPr>
        <w:tblW w:w="5000" w:type="pct"/>
        <w:jc w:val="start"/>
        <w:tblInd w:w="55" w:type="dxa"/>
        <w:tblLayout w:type="fixed"/>
        <w:tblCellMar>
          <w:top w:w="55" w:type="dxa"/>
          <w:start w:w="55" w:type="dxa"/>
          <w:bottom w:w="55" w:type="dxa"/>
          <w:end w:w="55" w:type="dxa"/>
        </w:tblCellMar>
      </w:tblPr>
      <w:tblGrid>
        <w:gridCol w:w="4680"/>
        <w:gridCol w:w="4680"/>
      </w:tblGrid>
      <w:tr>
        <w:trPr/>
        <w:tc>
          <w:tcPr>
            <w:tcW w:w="4680" w:type="dxa"/>
            <w:tcBorders/>
          </w:tcPr>
          <w:p>
            <w:pPr>
              <w:pStyle w:val="ImageCaption"/>
              <w:widowControl w:val="false"/>
              <w:spacing w:before="0" w:after="120"/>
              <w:jc w:val="center"/>
              <w:rPr/>
            </w:pPr>
            <w:r>
              <w:drawing>
                <wp:anchor behindDoc="0" distT="0" distB="0" distL="0" distR="0" simplePos="0" locked="0" layoutInCell="0" allowOverlap="1" relativeHeight="455">
                  <wp:simplePos x="0" y="0"/>
                  <wp:positionH relativeFrom="column">
                    <wp:align>center</wp:align>
                  </wp:positionH>
                  <wp:positionV relativeFrom="paragraph">
                    <wp:posOffset>635</wp:posOffset>
                  </wp:positionV>
                  <wp:extent cx="2901950" cy="1160780"/>
                  <wp:effectExtent l="0" t="0" r="0" b="0"/>
                  <wp:wrapSquare wrapText="largest"/>
                  <wp:docPr id="2"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5" descr="" title=""/>
                          <pic:cNvPicPr>
                            <a:picLocks noChangeAspect="1" noChangeArrowheads="1"/>
                          </pic:cNvPicPr>
                        </pic:nvPicPr>
                        <pic:blipFill>
                          <a:blip r:embed="rId3"/>
                          <a:stretch>
                            <a:fillRect/>
                          </a:stretch>
                        </pic:blipFill>
                        <pic:spPr bwMode="auto">
                          <a:xfrm>
                            <a:off x="0" y="0"/>
                            <a:ext cx="2901950" cy="1160780"/>
                          </a:xfrm>
                          <a:prstGeom prst="rect">
                            <a:avLst/>
                          </a:prstGeom>
                        </pic:spPr>
                      </pic:pic>
                    </a:graphicData>
                  </a:graphic>
                </wp:anchor>
              </w:drawing>
            </w:r>
            <w:r>
              <w:rPr/>
              <w:t>(a)</w:t>
            </w:r>
          </w:p>
        </w:tc>
        <w:tc>
          <w:tcPr>
            <w:tcW w:w="4680" w:type="dxa"/>
            <w:tcBorders/>
          </w:tcPr>
          <w:p>
            <w:pPr>
              <w:pStyle w:val="ImageCaption"/>
              <w:widowControl w:val="false"/>
              <w:spacing w:before="0" w:after="120"/>
              <w:jc w:val="center"/>
              <w:rPr/>
            </w:pPr>
            <w:r>
              <w:drawing>
                <wp:anchor behindDoc="0" distT="0" distB="0" distL="0" distR="0" simplePos="0" locked="0" layoutInCell="0" allowOverlap="1" relativeHeight="457">
                  <wp:simplePos x="0" y="0"/>
                  <wp:positionH relativeFrom="column">
                    <wp:align>center</wp:align>
                  </wp:positionH>
                  <wp:positionV relativeFrom="paragraph">
                    <wp:posOffset>635</wp:posOffset>
                  </wp:positionV>
                  <wp:extent cx="2901950" cy="1160780"/>
                  <wp:effectExtent l="0" t="0" r="0" b="0"/>
                  <wp:wrapSquare wrapText="largest"/>
                  <wp:docPr id="3"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6" descr="" title=""/>
                          <pic:cNvPicPr>
                            <a:picLocks noChangeAspect="1" noChangeArrowheads="1"/>
                          </pic:cNvPicPr>
                        </pic:nvPicPr>
                        <pic:blipFill>
                          <a:blip r:embed="rId4"/>
                          <a:stretch>
                            <a:fillRect/>
                          </a:stretch>
                        </pic:blipFill>
                        <pic:spPr bwMode="auto">
                          <a:xfrm>
                            <a:off x="0" y="0"/>
                            <a:ext cx="2901950" cy="1160780"/>
                          </a:xfrm>
                          <a:prstGeom prst="rect">
                            <a:avLst/>
                          </a:prstGeom>
                        </pic:spPr>
                      </pic:pic>
                    </a:graphicData>
                  </a:graphic>
                </wp:anchor>
              </w:drawing>
            </w:r>
            <w:r>
              <w:rPr/>
              <w:t>(b)</w:t>
            </w:r>
          </w:p>
        </w:tc>
      </w:tr>
    </w:tbl>
    <w:p>
      <w:pPr>
        <w:pStyle w:val="ImageCaption"/>
        <w:rPr/>
      </w:pPr>
      <w:r>
        <w:rPr/>
      </w:r>
    </w:p>
    <w:p>
      <w:pPr>
        <w:pStyle w:val="ImageCaption"/>
        <w:rPr/>
      </w:pPr>
      <w:r>
        <w:rPr/>
        <w:t>Fig. </w:t>
      </w:r>
      <w:hyperlink w:anchor="fig1">
        <w:r>
          <w:rPr>
            <w:rStyle w:val="InternetLink"/>
          </w:rPr>
          <w:t>2</w:t>
        </w:r>
      </w:hyperlink>
      <w:r>
        <w:rPr>
          <w:rStyle w:val="InternetLink"/>
        </w:rPr>
        <w:t xml:space="preserve"> </w:t>
      </w:r>
      <w:r>
        <w:rPr/>
        <w:t>Transformer acoustic signal under normal operating conditions. (a) Time-domain waveform. (b) Corresponding Mel spectrogram.</w:t>
      </w:r>
      <w:bookmarkEnd w:id="2"/>
    </w:p>
    <w:p>
      <w:pPr>
        <w:pStyle w:val="Heading2"/>
        <w:rPr/>
      </w:pPr>
      <w:bookmarkStart w:id="3" w:name="gramian-angular-field"/>
      <w:r>
        <w:rPr/>
        <w:t>Gramian Angular Field</w:t>
      </w:r>
    </w:p>
    <w:p>
      <w:pPr>
        <w:pStyle w:val="FirstParagraph"/>
        <w:rPr/>
      </w:pPr>
      <w:r>
        <w:rPr/>
        <w:t xml:space="preserve">The Gramian Angular Field (GAF) is a method for encoding one-dimensional time series into two-dimensional image representations that preserve the temporal correlation structure [25]. By representing time-series values in polar coordinates and computing pairwise trigonometric interactions, GAF produces images where each element </w:t>
      </w:r>
      <w:r>
        <w:rPr/>
      </w:r>
      <m:oMath xmlns:m="http://schemas.openxmlformats.org/officeDocument/2006/math">
        <m:d>
          <m:dPr>
            <m:begChr m:val="("/>
            <m:endChr m:val=")"/>
          </m:dPr>
          <m:e>
            <m:r>
              <m:t xml:space="preserve">i</m:t>
            </m:r>
            <m:r>
              <m:t xml:space="preserve">,</m:t>
            </m:r>
            <m:r>
              <m:t xml:space="preserve">j</m:t>
            </m:r>
          </m:e>
        </m:d>
      </m:oMath>
      <w:r>
        <w:rPr/>
        <w:t xml:space="preserve"> encodes the temporal relationship between time steps </w:t>
      </w:r>
      <w:r>
        <w:rPr/>
      </w:r>
      <m:oMath xmlns:m="http://schemas.openxmlformats.org/officeDocument/2006/math">
        <m:r>
          <m:t xml:space="preserve">i</m:t>
        </m:r>
      </m:oMath>
      <w:r>
        <w:rPr/>
        <w:t xml:space="preserve"> and </w:t>
      </w:r>
      <w:r>
        <w:rPr/>
      </w:r>
      <m:oMath xmlns:m="http://schemas.openxmlformats.org/officeDocument/2006/math">
        <m:r>
          <m:t xml:space="preserve">j</m:t>
        </m:r>
      </m:oMath>
      <w:r>
        <w:rPr/>
        <w:t xml:space="preserve">. Two variants exist: the Gramian Angular Summation Field (GASF) based on </w:t>
      </w:r>
      <w:r>
        <w:rPr/>
      </w:r>
      <m:oMath xmlns:m="http://schemas.openxmlformats.org/officeDocument/2006/math">
        <m:r>
          <m:t xml:space="preserve">cos</m:t>
        </m:r>
        <m:d>
          <m:dPr>
            <m:begChr m:val="("/>
            <m:endChr m:val=")"/>
          </m:dPr>
          <m:e>
            <m:sSub>
              <m:e>
                <m:r>
                  <m:t xml:space="preserve">ϕ</m:t>
                </m:r>
              </m:e>
              <m:sub>
                <m:r>
                  <m:t xml:space="preserve">i</m:t>
                </m:r>
              </m:sub>
            </m:sSub>
            <m:r>
              <m:t xml:space="preserve">+</m:t>
            </m:r>
            <m:sSub>
              <m:e>
                <m:r>
                  <m:t xml:space="preserve">ϕ</m:t>
                </m:r>
              </m:e>
              <m:sub>
                <m:r>
                  <m:t xml:space="preserve">j</m:t>
                </m:r>
              </m:sub>
            </m:sSub>
          </m:e>
        </m:d>
      </m:oMath>
      <w:r>
        <w:rPr/>
        <w:t xml:space="preserve">, and the Gramian Angular Difference Field (GADF) based on </w:t>
      </w:r>
      <w:r>
        <w:rPr/>
      </w:r>
      <m:oMath xmlns:m="http://schemas.openxmlformats.org/officeDocument/2006/math">
        <m:r>
          <m:t xml:space="preserve">sin</m:t>
        </m:r>
        <m:d>
          <m:dPr>
            <m:begChr m:val="("/>
            <m:endChr m:val=")"/>
          </m:dPr>
          <m:e>
            <m:sSub>
              <m:e>
                <m:r>
                  <m:t xml:space="preserve">ϕ</m:t>
                </m:r>
              </m:e>
              <m:sub>
                <m:r>
                  <m:t xml:space="preserve">i</m:t>
                </m:r>
              </m:sub>
            </m:sSub>
            <m:r>
              <m:t xml:space="preserve">−</m:t>
            </m:r>
            <m:sSub>
              <m:e>
                <m:r>
                  <m:t xml:space="preserve">ϕ</m:t>
                </m:r>
              </m:e>
              <m:sub>
                <m:r>
                  <m:t xml:space="preserve">j</m:t>
                </m:r>
              </m:sub>
            </m:sSub>
          </m:e>
        </m:d>
      </m:oMath>
      <w:r>
        <w:rPr/>
        <w:t xml:space="preserve"> [26]. The encoding procedure involves three steps:</w:t>
      </w:r>
    </w:p>
    <w:p>
      <w:pPr>
        <w:pStyle w:val="Normal"/>
        <w:numPr>
          <w:ilvl w:val="0"/>
          <w:numId w:val="12"/>
        </w:numPr>
        <w:rPr/>
      </w:pPr>
      <w:r>
        <w:rPr>
          <w:b/>
          <w:bCs/>
        </w:rPr>
        <w:t>Normalization:</w:t>
      </w:r>
      <w:r>
        <w:rPr/>
        <w:t xml:space="preserve"> Given a univariate time series </w:t>
      </w:r>
      <w:r>
        <w:rPr/>
      </w:r>
      <m:oMath xmlns:m="http://schemas.openxmlformats.org/officeDocument/2006/math">
        <m:r>
          <m:t xml:space="preserve">X</m:t>
        </m:r>
        <m:r>
          <m:t xml:space="preserve">=</m:t>
        </m:r>
        <m:r>
          <m:t xml:space="preserve">{</m:t>
        </m:r>
        <m:sSub>
          <m:e>
            <m:r>
              <m:t xml:space="preserve">x</m:t>
            </m:r>
          </m:e>
          <m:sub>
            <m:r>
              <m:t xml:space="preserve">1</m:t>
            </m:r>
          </m:sub>
        </m:sSub>
        <m:r>
          <m:t xml:space="preserve">,</m:t>
        </m:r>
        <m:sSub>
          <m:e>
            <m:r>
              <m:t xml:space="preserve">x</m:t>
            </m:r>
          </m:e>
          <m:sub>
            <m:r>
              <m:t xml:space="preserve">2</m:t>
            </m:r>
          </m:sub>
        </m:sSub>
        <m:r>
          <m:t xml:space="preserve">,</m:t>
        </m:r>
        <m:r>
          <m:t xml:space="preserve">…</m:t>
        </m:r>
        <m:r>
          <m:t xml:space="preserve">,</m:t>
        </m:r>
        <m:sSub>
          <m:e>
            <m:r>
              <m:t xml:space="preserve">x</m:t>
            </m:r>
          </m:e>
          <m:sub>
            <m:r>
              <m:t xml:space="preserve">n</m:t>
            </m:r>
          </m:sub>
        </m:sSub>
        <m:r>
          <m:t xml:space="preserve">}</m:t>
        </m:r>
      </m:oMath>
      <w:r>
        <w:rPr/>
        <w:t xml:space="preserve"> of length </w:t>
      </w:r>
      <w:r>
        <w:rPr/>
      </w:r>
      <m:oMath xmlns:m="http://schemas.openxmlformats.org/officeDocument/2006/math">
        <m:r>
          <m:t xml:space="preserve">n</m:t>
        </m:r>
      </m:oMath>
      <w:r>
        <w:rPr/>
        <w:t xml:space="preserve">, the values are rescaled to the interval </w:t>
      </w:r>
      <w:r>
        <w:rPr/>
      </w:r>
      <m:oMath xmlns:m="http://schemas.openxmlformats.org/officeDocument/2006/math">
        <m:d>
          <m:dPr>
            <m:begChr m:val="["/>
            <m:endChr m:val=")"/>
          </m:dPr>
          <m:e>
            <m:r>
              <m:t xml:space="preserve">−</m:t>
            </m:r>
            <m:r>
              <m:t xml:space="preserve">1</m:t>
            </m:r>
            <m:r>
              <m:t xml:space="preserve">,</m:t>
            </m:r>
            <m:r>
              <m:t xml:space="preserve">1</m:t>
            </m:r>
          </m:e>
        </m:d>
      </m:oMath>
      <w:r>
        <w:rPr/>
        <w:t xml:space="preserve"> via min-max normalization:</w:t>
      </w:r>
    </w:p>
    <w:p>
      <w:pPr>
        <w:pStyle w:val="TextBody"/>
        <w:jc w:val="center"/>
        <w:rPr/>
      </w:pPr>
      <w:r>
        <w:rPr/>
      </w:r>
      <m:oMath xmlns:m="http://schemas.openxmlformats.org/officeDocument/2006/math">
        <m:sSub>
          <m:e>
            <m:acc>
              <m:accPr>
                <m:chr m:val="~"/>
              </m:accPr>
              <m:e>
                <m:r>
                  <m:t xml:space="preserve">x</m:t>
                </m:r>
              </m:e>
            </m:acc>
          </m:e>
          <m:sub>
            <m:r>
              <m:t xml:space="preserve">i</m:t>
            </m:r>
          </m:sub>
        </m:sSub>
        <m:r>
          <m:t xml:space="preserve">=</m:t>
        </m:r>
        <m:f>
          <m:num>
            <m:d>
              <m:dPr>
                <m:begChr m:val="("/>
                <m:endChr m:val=")"/>
              </m:dPr>
              <m:e>
                <m:sSub>
                  <m:e>
                    <m:r>
                      <m:t xml:space="preserve">x</m:t>
                    </m:r>
                  </m:e>
                  <m:sub>
                    <m:r>
                      <m:t xml:space="preserve">i</m:t>
                    </m:r>
                  </m:sub>
                </m:sSub>
                <m:r>
                  <m:t xml:space="preserve">−</m:t>
                </m:r>
                <m:r>
                  <m:t xml:space="preserve">min</m:t>
                </m:r>
                <m:r>
                  <m:t xml:space="preserve">X</m:t>
                </m:r>
              </m:e>
            </m:d>
            <m:r>
              <m:t xml:space="preserve">+</m:t>
            </m:r>
            <m:d>
              <m:dPr>
                <m:begChr m:val="("/>
                <m:endChr m:val=")"/>
              </m:dPr>
              <m:e>
                <m:sSub>
                  <m:e>
                    <m:r>
                      <m:t xml:space="preserve">x</m:t>
                    </m:r>
                  </m:e>
                  <m:sub>
                    <m:r>
                      <m:t xml:space="preserve">i</m:t>
                    </m:r>
                  </m:sub>
                </m:sSub>
                <m:r>
                  <m:t xml:space="preserve">−</m:t>
                </m:r>
                <m:r>
                  <m:t xml:space="preserve">max</m:t>
                </m:r>
                <m:r>
                  <m:t xml:space="preserve">X</m:t>
                </m:r>
              </m:e>
            </m:d>
          </m:num>
          <m:den>
            <m:r>
              <m:t xml:space="preserve">max</m:t>
            </m:r>
            <m:r>
              <m:t xml:space="preserve">X</m:t>
            </m:r>
            <m:r>
              <m:t xml:space="preserve">−</m:t>
            </m:r>
            <m:r>
              <m:t xml:space="preserve">min</m:t>
            </m:r>
            <m:r>
              <m:t xml:space="preserve">X</m:t>
            </m:r>
          </m:den>
        </m:f>
        <m:r>
          <m:t xml:space="preserve">,</m:t>
        </m:r>
        <m:r>
          <m:t xml:space="preserve">i</m:t>
        </m:r>
        <m:r>
          <m:t xml:space="preserve">=</m:t>
        </m:r>
        <m:r>
          <m:t xml:space="preserve">1</m:t>
        </m:r>
        <m:r>
          <m:t xml:space="preserve">,</m:t>
        </m:r>
        <m:r>
          <m:t xml:space="preserve">2</m:t>
        </m:r>
        <m:r>
          <m:t xml:space="preserve">,</m:t>
        </m:r>
        <m:r>
          <m:t xml:space="preserve">…</m:t>
        </m:r>
        <m:r>
          <m:t xml:space="preserve">,</m:t>
        </m:r>
        <m:r>
          <m:t xml:space="preserve">n</m:t>
        </m:r>
      </m:oMath>
      <w:r>
        <w:rPr/>
        <w:tab/>
      </w:r>
      <w:r>
        <w:rPr/>
        <w:t>(3)</w:t>
      </w:r>
    </w:p>
    <w:p>
      <w:pPr>
        <w:pStyle w:val="Normal"/>
        <w:numPr>
          <w:ilvl w:val="0"/>
          <w:numId w:val="1"/>
        </w:numPr>
        <w:rPr/>
      </w:pPr>
      <w:r>
        <w:rPr/>
        <w:t xml:space="preserve">yielding the normalized series </w:t>
      </w:r>
      <w:r>
        <w:rPr/>
      </w:r>
      <m:oMath xmlns:m="http://schemas.openxmlformats.org/officeDocument/2006/math">
        <m:acc>
          <m:accPr>
            <m:chr m:val="~"/>
          </m:accPr>
          <m:e>
            <m:r>
              <m:t xml:space="preserve">X</m:t>
            </m:r>
          </m:e>
        </m:acc>
        <m:r>
          <m:t xml:space="preserve">=</m:t>
        </m:r>
        <m:r>
          <m:t xml:space="preserve">{</m:t>
        </m:r>
        <m:sSub>
          <m:e>
            <m:acc>
              <m:accPr>
                <m:chr m:val="~"/>
              </m:accPr>
              <m:e>
                <m:r>
                  <m:t xml:space="preserve">x</m:t>
                </m:r>
              </m:e>
            </m:acc>
          </m:e>
          <m:sub>
            <m:r>
              <m:t xml:space="preserve">1</m:t>
            </m:r>
          </m:sub>
        </m:sSub>
        <m:r>
          <m:t xml:space="preserve">,</m:t>
        </m:r>
        <m:sSub>
          <m:e>
            <m:acc>
              <m:accPr>
                <m:chr m:val="~"/>
              </m:accPr>
              <m:e>
                <m:r>
                  <m:t xml:space="preserve">x</m:t>
                </m:r>
              </m:e>
            </m:acc>
          </m:e>
          <m:sub>
            <m:r>
              <m:t xml:space="preserve">2</m:t>
            </m:r>
          </m:sub>
        </m:sSub>
        <m:r>
          <m:t xml:space="preserve">,</m:t>
        </m:r>
        <m:r>
          <m:t xml:space="preserve">…</m:t>
        </m:r>
        <m:r>
          <m:t xml:space="preserve">,</m:t>
        </m:r>
        <m:sSub>
          <m:e>
            <m:acc>
              <m:accPr>
                <m:chr m:val="~"/>
              </m:accPr>
              <m:e>
                <m:r>
                  <m:t xml:space="preserve">x</m:t>
                </m:r>
              </m:e>
            </m:acc>
          </m:e>
          <m:sub>
            <m:r>
              <m:t xml:space="preserve">n</m:t>
            </m:r>
          </m:sub>
        </m:sSub>
        <m:r>
          <m:t xml:space="preserve">}</m:t>
        </m:r>
      </m:oMath>
      <w:r>
        <w:rPr/>
        <w:t>.</w:t>
      </w:r>
    </w:p>
    <w:p>
      <w:pPr>
        <w:pStyle w:val="Normal"/>
        <w:numPr>
          <w:ilvl w:val="0"/>
          <w:numId w:val="13"/>
        </w:numPr>
        <w:rPr/>
      </w:pPr>
      <w:r>
        <w:rPr>
          <w:b/>
          <w:bCs/>
        </w:rPr>
        <w:t>Polar encoding:</w:t>
      </w:r>
      <w:r>
        <w:rPr/>
        <w:t xml:space="preserve"> Each normalized value </w:t>
      </w:r>
      <w:r>
        <w:rPr/>
      </w:r>
      <m:oMath xmlns:m="http://schemas.openxmlformats.org/officeDocument/2006/math">
        <m:sSub>
          <m:e>
            <m:acc>
              <m:accPr>
                <m:chr m:val="~"/>
              </m:accPr>
              <m:e>
                <m:r>
                  <m:t xml:space="preserve">x</m:t>
                </m:r>
              </m:e>
            </m:acc>
          </m:e>
          <m:sub>
            <m:r>
              <m:t xml:space="preserve">i</m:t>
            </m:r>
          </m:sub>
        </m:sSub>
      </m:oMath>
      <w:r>
        <w:rPr/>
        <w:t xml:space="preserve"> is mapped to a polar coordinate representation </w:t>
      </w:r>
      <w:r>
        <w:rPr/>
      </w:r>
      <m:oMath xmlns:m="http://schemas.openxmlformats.org/officeDocument/2006/math">
        <m:d>
          <m:dPr>
            <m:begChr m:val="("/>
            <m:endChr m:val=")"/>
          </m:dPr>
          <m:e>
            <m:sSub>
              <m:e>
                <m:r>
                  <m:t xml:space="preserve">ϕ</m:t>
                </m:r>
              </m:e>
              <m:sub>
                <m:r>
                  <m:t xml:space="preserve">i</m:t>
                </m:r>
              </m:sub>
            </m:sSub>
            <m:r>
              <m:t xml:space="preserve">,</m:t>
            </m:r>
            <m:sSub>
              <m:e>
                <m:r>
                  <m:t xml:space="preserve">r</m:t>
                </m:r>
              </m:e>
              <m:sub>
                <m:r>
                  <m:t xml:space="preserve">i</m:t>
                </m:r>
              </m:sub>
            </m:sSub>
          </m:e>
        </m:d>
      </m:oMath>
      <w:r>
        <w:rPr/>
        <w:t xml:space="preserve"> as:</w:t>
      </w:r>
    </w:p>
    <w:p>
      <w:pPr>
        <w:pStyle w:val="TextBody"/>
        <w:jc w:val="center"/>
        <w:rPr/>
      </w:pPr>
      <w:r>
        <w:rPr/>
      </w:r>
      <m:oMath xmlns:m="http://schemas.openxmlformats.org/officeDocument/2006/math">
        <m:d>
          <m:dPr>
            <m:begChr m:val="{"/>
            <m:endChr m:val=")"/>
          </m:dPr>
          <m:e>
            <m:m>
              <m:mr>
                <m:e>
                  <m:sSub>
                    <m:e>
                      <m:r>
                        <m:t xml:space="preserve">ϕ</m:t>
                      </m:r>
                    </m:e>
                    <m:sub>
                      <m:r>
                        <m:t xml:space="preserve">i</m:t>
                      </m:r>
                    </m:sub>
                  </m:sSub>
                  <m:r>
                    <m:t xml:space="preserve">=</m:t>
                  </m:r>
                  <m:r>
                    <m:t xml:space="preserve">arccos</m:t>
                  </m:r>
                  <m:d>
                    <m:dPr>
                      <m:begChr m:val="("/>
                      <m:endChr m:val=")"/>
                    </m:dPr>
                    <m:e>
                      <m:sSub>
                        <m:e>
                          <m:acc>
                            <m:accPr>
                              <m:chr m:val="~"/>
                            </m:accPr>
                            <m:e>
                              <m:r>
                                <m:t xml:space="preserve">x</m:t>
                              </m:r>
                            </m:e>
                          </m:acc>
                        </m:e>
                        <m:sub>
                          <m:r>
                            <m:t xml:space="preserve">i</m:t>
                          </m:r>
                        </m:sub>
                      </m:sSub>
                    </m:e>
                  </m:d>
                  <m:r>
                    <m:t xml:space="preserve">,</m:t>
                  </m:r>
                </m:e>
                <m:e>
                  <m:r>
                    <m:t xml:space="preserve">−</m:t>
                  </m:r>
                  <m:r>
                    <m:t xml:space="preserve">1</m:t>
                  </m:r>
                  <m:r>
                    <m:t xml:space="preserve">≤</m:t>
                  </m:r>
                  <m:sSub>
                    <m:e>
                      <m:acc>
                        <m:accPr>
                          <m:chr m:val="~"/>
                        </m:accPr>
                        <m:e>
                          <m:r>
                            <m:t xml:space="preserve">x</m:t>
                          </m:r>
                        </m:e>
                      </m:acc>
                    </m:e>
                    <m:sub>
                      <m:r>
                        <m:t xml:space="preserve">i</m:t>
                      </m:r>
                    </m:sub>
                  </m:sSub>
                  <m:r>
                    <m:t xml:space="preserve">≤</m:t>
                  </m:r>
                  <m:r>
                    <m:t xml:space="preserve">1</m:t>
                  </m:r>
                </m:e>
              </m:mr>
              <m:mr>
                <m:e>
                  <m:sSub>
                    <m:e>
                      <m:r>
                        <m:t xml:space="preserve">r</m:t>
                      </m:r>
                    </m:e>
                    <m:sub>
                      <m:r>
                        <m:t xml:space="preserve">i</m:t>
                      </m:r>
                    </m:sub>
                  </m:sSub>
                  <m:r>
                    <m:t xml:space="preserve">=</m:t>
                  </m:r>
                  <m:f>
                    <m:num>
                      <m:r>
                        <m:t xml:space="preserve">i</m:t>
                      </m:r>
                    </m:num>
                    <m:den>
                      <m:r>
                        <m:t xml:space="preserve">n</m:t>
                      </m:r>
                    </m:den>
                  </m:f>
                  <m:r>
                    <m:t xml:space="preserve">,</m:t>
                  </m:r>
                </m:e>
                <m:e>
                  <m:r>
                    <m:t xml:space="preserve">i</m:t>
                  </m:r>
                  <m:r>
                    <m:t xml:space="preserve">=</m:t>
                  </m:r>
                  <m:r>
                    <m:t xml:space="preserve">1</m:t>
                  </m:r>
                  <m:r>
                    <m:t xml:space="preserve">,</m:t>
                  </m:r>
                  <m:r>
                    <m:t xml:space="preserve">…</m:t>
                  </m:r>
                  <m:r>
                    <m:t xml:space="preserve">,</m:t>
                  </m:r>
                  <m:r>
                    <m:t xml:space="preserve">n</m:t>
                  </m:r>
                </m:e>
              </m:mr>
            </m:m>
          </m:e>
        </m:d>
      </m:oMath>
      <w:r>
        <w:rPr/>
        <w:tab/>
      </w:r>
      <w:r>
        <w:rPr/>
        <w:t>(4)</w:t>
      </w:r>
    </w:p>
    <w:p>
      <w:pPr>
        <w:pStyle w:val="Normal"/>
        <w:numPr>
          <w:ilvl w:val="0"/>
          <w:numId w:val="1"/>
        </w:numPr>
        <w:rPr/>
      </w:pPr>
      <w:r>
        <w:rPr/>
        <w:t xml:space="preserve">where </w:t>
      </w:r>
      <w:r>
        <w:rPr/>
      </w:r>
      <m:oMath xmlns:m="http://schemas.openxmlformats.org/officeDocument/2006/math">
        <m:sSub>
          <m:e>
            <m:r>
              <m:t xml:space="preserve">ϕ</m:t>
            </m:r>
          </m:e>
          <m:sub>
            <m:r>
              <m:t xml:space="preserve">i</m:t>
            </m:r>
          </m:sub>
        </m:sSub>
        <m:r>
          <m:t xml:space="preserve">∈</m:t>
        </m:r>
        <m:d>
          <m:dPr>
            <m:begChr m:val="["/>
            <m:endChr m:val=")"/>
          </m:dPr>
          <m:e>
            <m:r>
              <m:t xml:space="preserve">0</m:t>
            </m:r>
            <m:r>
              <m:t xml:space="preserve">,</m:t>
            </m:r>
            <m:r>
              <m:t xml:space="preserve">π</m:t>
            </m:r>
          </m:e>
        </m:d>
      </m:oMath>
      <w:r>
        <w:rPr/>
        <w:t xml:space="preserve"> is the angular coordinate enco</w:t>
      </w:r>
      <w:r>
        <w:rPr/>
        <w:t>F</w:t>
      </w:r>
      <w:r>
        <w:rPr/>
        <w:t xml:space="preserve">ding the amplitude, and </w:t>
      </w:r>
      <w:r>
        <w:rPr/>
      </w:r>
      <m:oMath xmlns:m="http://schemas.openxmlformats.org/officeDocument/2006/math">
        <m:sSub>
          <m:e>
            <m:r>
              <m:t xml:space="preserve">r</m:t>
            </m:r>
          </m:e>
          <m:sub>
            <m:r>
              <m:t xml:space="preserve">i</m:t>
            </m:r>
          </m:sub>
        </m:sSub>
        <m:r>
          <m:t xml:space="preserve">∈</m:t>
        </m:r>
        <m:d>
          <m:dPr>
            <m:begChr m:val="["/>
            <m:endChr m:val=")"/>
          </m:dPr>
          <m:e>
            <m:r>
              <m:t xml:space="preserve">0</m:t>
            </m:r>
            <m:r>
              <m:t xml:space="preserve">,</m:t>
            </m:r>
            <m:r>
              <m:t xml:space="preserve">1</m:t>
            </m:r>
          </m:e>
        </m:d>
      </m:oMath>
      <w:r>
        <w:rPr/>
        <w:t xml:space="preserve"> is the radial coordinate encoding the temporal position. This bijective mapping ensures that temporal ordering is preserved in the polar representation.</w:t>
      </w:r>
    </w:p>
    <w:p>
      <w:pPr>
        <w:pStyle w:val="Normal"/>
        <w:numPr>
          <w:ilvl w:val="0"/>
          <w:numId w:val="14"/>
        </w:numPr>
        <w:rPr/>
      </w:pPr>
      <w:r>
        <w:rPr>
          <w:b/>
          <w:bCs/>
        </w:rPr>
        <w:t>Gramian matrix construction:</w:t>
      </w:r>
      <w:r>
        <w:rPr/>
        <w:t xml:space="preserve"> The GASF </w:t>
      </w:r>
      <w:r>
        <w:rPr/>
      </w:r>
      <m:oMath xmlns:m="http://schemas.openxmlformats.org/officeDocument/2006/math">
        <m:sSub>
          <m:e>
            <m:r>
              <m:t xml:space="preserve">G</m:t>
            </m:r>
          </m:e>
          <m:sub>
            <m:r>
              <m:t xml:space="preserve">s</m:t>
            </m:r>
          </m:sub>
        </m:sSub>
      </m:oMath>
      <w:r>
        <w:rPr/>
        <w:t xml:space="preserve"> and GADF </w:t>
      </w:r>
      <w:r>
        <w:rPr/>
      </w:r>
      <m:oMath xmlns:m="http://schemas.openxmlformats.org/officeDocument/2006/math">
        <m:sSub>
          <m:e>
            <m:r>
              <m:t xml:space="preserve">G</m:t>
            </m:r>
          </m:e>
          <m:sub>
            <m:r>
              <m:t xml:space="preserve">d</m:t>
            </m:r>
          </m:sub>
        </m:sSub>
      </m:oMath>
      <w:r>
        <w:rPr/>
        <w:t xml:space="preserve"> are computed as:</w:t>
      </w:r>
    </w:p>
    <w:p>
      <w:pPr>
        <w:pStyle w:val="TextBody"/>
        <w:jc w:val="center"/>
        <w:rPr/>
      </w:pPr>
      <w:r>
        <w:rPr/>
      </w:r>
      <m:oMath xmlns:m="http://schemas.openxmlformats.org/officeDocument/2006/math">
        <m:sSub>
          <m:e>
            <m:r>
              <m:t xml:space="preserve">G</m:t>
            </m:r>
          </m:e>
          <m:sub>
            <m:r>
              <m:t xml:space="preserve">s</m:t>
            </m:r>
          </m:sub>
        </m:sSub>
        <m:r>
          <m:t xml:space="preserve">=</m:t>
        </m:r>
        <m:d>
          <m:dPr>
            <m:begChr m:val="["/>
            <m:endChr m:val=")"/>
          </m:dPr>
          <m:e>
            <m:m>
              <m:mr>
                <m:e>
                  <m:r>
                    <m:t xml:space="preserve">cos</m:t>
                  </m:r>
                  <m:d>
                    <m:dPr>
                      <m:begChr m:val="("/>
                      <m:endChr m:val=")"/>
                    </m:dPr>
                    <m:e>
                      <m:sSub>
                        <m:e>
                          <m:r>
                            <m:t xml:space="preserve">ϕ</m:t>
                          </m:r>
                        </m:e>
                        <m:sub>
                          <m:r>
                            <m:t xml:space="preserve">1</m:t>
                          </m:r>
                        </m:sub>
                      </m:sSub>
                      <m:r>
                        <m:t xml:space="preserve">+</m:t>
                      </m:r>
                      <m:sSub>
                        <m:e>
                          <m:r>
                            <m:t xml:space="preserve">ϕ</m:t>
                          </m:r>
                        </m:e>
                        <m:sub>
                          <m:r>
                            <m:t xml:space="preserve">1</m:t>
                          </m:r>
                        </m:sub>
                      </m:sSub>
                    </m:e>
                  </m:d>
                </m:e>
                <m:e>
                  <m:r>
                    <m:t xml:space="preserve">cos</m:t>
                  </m:r>
                  <m:d>
                    <m:dPr>
                      <m:begChr m:val="("/>
                      <m:endChr m:val=")"/>
                    </m:dPr>
                    <m:e>
                      <m:sSub>
                        <m:e>
                          <m:r>
                            <m:t xml:space="preserve">ϕ</m:t>
                          </m:r>
                        </m:e>
                        <m:sub>
                          <m:r>
                            <m:t xml:space="preserve">1</m:t>
                          </m:r>
                        </m:sub>
                      </m:sSub>
                      <m:r>
                        <m:t xml:space="preserve">+</m:t>
                      </m:r>
                      <m:sSub>
                        <m:e>
                          <m:r>
                            <m:t xml:space="preserve">ϕ</m:t>
                          </m:r>
                        </m:e>
                        <m:sub>
                          <m:r>
                            <m:t xml:space="preserve">2</m:t>
                          </m:r>
                        </m:sub>
                      </m:sSub>
                    </m:e>
                  </m:d>
                </m:e>
                <m:e>
                  <m:r>
                    <m:t xml:space="preserve">⋯</m:t>
                  </m:r>
                </m:e>
                <m:e>
                  <m:r>
                    <m:t xml:space="preserve">cos</m:t>
                  </m:r>
                  <m:d>
                    <m:dPr>
                      <m:begChr m:val="("/>
                      <m:endChr m:val=")"/>
                    </m:dPr>
                    <m:e>
                      <m:sSub>
                        <m:e>
                          <m:r>
                            <m:t xml:space="preserve">ϕ</m:t>
                          </m:r>
                        </m:e>
                        <m:sub>
                          <m:r>
                            <m:t xml:space="preserve">1</m:t>
                          </m:r>
                        </m:sub>
                      </m:sSub>
                      <m:r>
                        <m:t xml:space="preserve">+</m:t>
                      </m:r>
                      <m:sSub>
                        <m:e>
                          <m:r>
                            <m:t xml:space="preserve">ϕ</m:t>
                          </m:r>
                        </m:e>
                        <m:sub>
                          <m:r>
                            <m:t xml:space="preserve">n</m:t>
                          </m:r>
                        </m:sub>
                      </m:sSub>
                    </m:e>
                  </m:d>
                </m:e>
              </m:mr>
              <m:mr>
                <m:e>
                  <m:r>
                    <m:t xml:space="preserve">cos</m:t>
                  </m:r>
                  <m:d>
                    <m:dPr>
                      <m:begChr m:val="("/>
                      <m:endChr m:val=")"/>
                    </m:dPr>
                    <m:e>
                      <m:sSub>
                        <m:e>
                          <m:r>
                            <m:t xml:space="preserve">ϕ</m:t>
                          </m:r>
                        </m:e>
                        <m:sub>
                          <m:r>
                            <m:t xml:space="preserve">2</m:t>
                          </m:r>
                        </m:sub>
                      </m:sSub>
                      <m:r>
                        <m:t xml:space="preserve">+</m:t>
                      </m:r>
                      <m:sSub>
                        <m:e>
                          <m:r>
                            <m:t xml:space="preserve">ϕ</m:t>
                          </m:r>
                        </m:e>
                        <m:sub>
                          <m:r>
                            <m:t xml:space="preserve">1</m:t>
                          </m:r>
                        </m:sub>
                      </m:sSub>
                    </m:e>
                  </m:d>
                </m:e>
                <m:e>
                  <m:r>
                    <m:t xml:space="preserve">cos</m:t>
                  </m:r>
                  <m:d>
                    <m:dPr>
                      <m:begChr m:val="("/>
                      <m:endChr m:val=")"/>
                    </m:dPr>
                    <m:e>
                      <m:sSub>
                        <m:e>
                          <m:r>
                            <m:t xml:space="preserve">ϕ</m:t>
                          </m:r>
                        </m:e>
                        <m:sub>
                          <m:r>
                            <m:t xml:space="preserve">2</m:t>
                          </m:r>
                        </m:sub>
                      </m:sSub>
                      <m:r>
                        <m:t xml:space="preserve">+</m:t>
                      </m:r>
                      <m:sSub>
                        <m:e>
                          <m:r>
                            <m:t xml:space="preserve">ϕ</m:t>
                          </m:r>
                        </m:e>
                        <m:sub>
                          <m:r>
                            <m:t xml:space="preserve">2</m:t>
                          </m:r>
                        </m:sub>
                      </m:sSub>
                    </m:e>
                  </m:d>
                </m:e>
                <m:e>
                  <m:r>
                    <m:t xml:space="preserve">⋯</m:t>
                  </m:r>
                </m:e>
                <m:e>
                  <m:r>
                    <m:t xml:space="preserve">cos</m:t>
                  </m:r>
                  <m:d>
                    <m:dPr>
                      <m:begChr m:val="("/>
                      <m:endChr m:val=")"/>
                    </m:dPr>
                    <m:e>
                      <m:sSub>
                        <m:e>
                          <m:r>
                            <m:t xml:space="preserve">ϕ</m:t>
                          </m:r>
                        </m:e>
                        <m:sub>
                          <m:r>
                            <m:t xml:space="preserve">2</m:t>
                          </m:r>
                        </m:sub>
                      </m:sSub>
                      <m:r>
                        <m:t xml:space="preserve">+</m:t>
                      </m:r>
                      <m:sSub>
                        <m:e>
                          <m:r>
                            <m:t xml:space="preserve">ϕ</m:t>
                          </m:r>
                        </m:e>
                        <m:sub>
                          <m:r>
                            <m:t xml:space="preserve">n</m:t>
                          </m:r>
                        </m:sub>
                      </m:sSub>
                    </m:e>
                  </m:d>
                </m:e>
              </m:mr>
              <m:mr>
                <m:e>
                  <m:r>
                    <m:t xml:space="preserve">⋮</m:t>
                  </m:r>
                </m:e>
                <m:e>
                  <m:r>
                    <m:t xml:space="preserve">⋮</m:t>
                  </m:r>
                </m:e>
                <m:e>
                  <m:r>
                    <m:t xml:space="preserve">⋱</m:t>
                  </m:r>
                </m:e>
                <m:e>
                  <m:r>
                    <m:t xml:space="preserve">⋮</m:t>
                  </m:r>
                </m:e>
              </m:mr>
              <m:mr>
                <m:e>
                  <m:r>
                    <m:t xml:space="preserve">cos</m:t>
                  </m:r>
                  <m:d>
                    <m:dPr>
                      <m:begChr m:val="("/>
                      <m:endChr m:val=")"/>
                    </m:dPr>
                    <m:e>
                      <m:sSub>
                        <m:e>
                          <m:r>
                            <m:t xml:space="preserve">ϕ</m:t>
                          </m:r>
                        </m:e>
                        <m:sub>
                          <m:r>
                            <m:t xml:space="preserve">n</m:t>
                          </m:r>
                        </m:sub>
                      </m:sSub>
                      <m:r>
                        <m:t xml:space="preserve">+</m:t>
                      </m:r>
                      <m:sSub>
                        <m:e>
                          <m:r>
                            <m:t xml:space="preserve">ϕ</m:t>
                          </m:r>
                        </m:e>
                        <m:sub>
                          <m:r>
                            <m:t xml:space="preserve">1</m:t>
                          </m:r>
                        </m:sub>
                      </m:sSub>
                    </m:e>
                  </m:d>
                </m:e>
                <m:e>
                  <m:r>
                    <m:t xml:space="preserve">cos</m:t>
                  </m:r>
                  <m:d>
                    <m:dPr>
                      <m:begChr m:val="("/>
                      <m:endChr m:val=")"/>
                    </m:dPr>
                    <m:e>
                      <m:sSub>
                        <m:e>
                          <m:r>
                            <m:t xml:space="preserve">ϕ</m:t>
                          </m:r>
                        </m:e>
                        <m:sub>
                          <m:r>
                            <m:t xml:space="preserve">n</m:t>
                          </m:r>
                        </m:sub>
                      </m:sSub>
                      <m:r>
                        <m:t xml:space="preserve">+</m:t>
                      </m:r>
                      <m:sSub>
                        <m:e>
                          <m:r>
                            <m:t xml:space="preserve">ϕ</m:t>
                          </m:r>
                        </m:e>
                        <m:sub>
                          <m:r>
                            <m:t xml:space="preserve">2</m:t>
                          </m:r>
                        </m:sub>
                      </m:sSub>
                    </m:e>
                  </m:d>
                </m:e>
                <m:e>
                  <m:r>
                    <m:t xml:space="preserve">⋯</m:t>
                  </m:r>
                </m:e>
                <m:e>
                  <m:r>
                    <m:t xml:space="preserve">cos</m:t>
                  </m:r>
                  <m:d>
                    <m:dPr>
                      <m:begChr m:val="("/>
                      <m:endChr m:val=")"/>
                    </m:dPr>
                    <m:e>
                      <m:sSub>
                        <m:e>
                          <m:r>
                            <m:t xml:space="preserve">ϕ</m:t>
                          </m:r>
                        </m:e>
                        <m:sub>
                          <m:r>
                            <m:t xml:space="preserve">n</m:t>
                          </m:r>
                        </m:sub>
                      </m:sSub>
                      <m:r>
                        <m:t xml:space="preserve">+</m:t>
                      </m:r>
                      <m:sSub>
                        <m:e>
                          <m:r>
                            <m:t xml:space="preserve">ϕ</m:t>
                          </m:r>
                        </m:e>
                        <m:sub>
                          <m:r>
                            <m:t xml:space="preserve">n</m:t>
                          </m:r>
                        </m:sub>
                      </m:sSub>
                    </m:e>
                  </m:d>
                </m:e>
              </m:mr>
            </m:m>
          </m:e>
        </m:d>
      </m:oMath>
      <w:r>
        <w:rPr/>
        <w:tab/>
      </w:r>
      <w:r>
        <w:rPr/>
        <w:t>(5)</w:t>
      </w:r>
    </w:p>
    <w:p>
      <w:pPr>
        <w:pStyle w:val="FirstParagraph"/>
        <w:jc w:val="center"/>
        <w:rPr/>
      </w:pPr>
      <w:r>
        <w:rPr/>
      </w:r>
      <m:oMath xmlns:m="http://schemas.openxmlformats.org/officeDocument/2006/math">
        <m:sSub>
          <m:e>
            <m:r>
              <m:t xml:space="preserve">G</m:t>
            </m:r>
          </m:e>
          <m:sub>
            <m:r>
              <m:t xml:space="preserve">d</m:t>
            </m:r>
          </m:sub>
        </m:sSub>
        <m:r>
          <m:t xml:space="preserve">=</m:t>
        </m:r>
        <m:d>
          <m:dPr>
            <m:begChr m:val="["/>
            <m:endChr m:val=")"/>
          </m:dPr>
          <m:e>
            <m:m>
              <m:mr>
                <m:e>
                  <m:r>
                    <m:t xml:space="preserve">sin</m:t>
                  </m:r>
                  <m:d>
                    <m:dPr>
                      <m:begChr m:val="("/>
                      <m:endChr m:val=")"/>
                    </m:dPr>
                    <m:e>
                      <m:sSub>
                        <m:e>
                          <m:r>
                            <m:t xml:space="preserve">ϕ</m:t>
                          </m:r>
                        </m:e>
                        <m:sub>
                          <m:r>
                            <m:t xml:space="preserve">1</m:t>
                          </m:r>
                        </m:sub>
                      </m:sSub>
                      <m:r>
                        <m:t xml:space="preserve">−</m:t>
                      </m:r>
                      <m:sSub>
                        <m:e>
                          <m:r>
                            <m:t xml:space="preserve">ϕ</m:t>
                          </m:r>
                        </m:e>
                        <m:sub>
                          <m:r>
                            <m:t xml:space="preserve">1</m:t>
                          </m:r>
                        </m:sub>
                      </m:sSub>
                    </m:e>
                  </m:d>
                </m:e>
                <m:e>
                  <m:r>
                    <m:t xml:space="preserve">sin</m:t>
                  </m:r>
                  <m:d>
                    <m:dPr>
                      <m:begChr m:val="("/>
                      <m:endChr m:val=")"/>
                    </m:dPr>
                    <m:e>
                      <m:sSub>
                        <m:e>
                          <m:r>
                            <m:t xml:space="preserve">ϕ</m:t>
                          </m:r>
                        </m:e>
                        <m:sub>
                          <m:r>
                            <m:t xml:space="preserve">1</m:t>
                          </m:r>
                        </m:sub>
                      </m:sSub>
                      <m:r>
                        <m:t xml:space="preserve">−</m:t>
                      </m:r>
                      <m:sSub>
                        <m:e>
                          <m:r>
                            <m:t xml:space="preserve">ϕ</m:t>
                          </m:r>
                        </m:e>
                        <m:sub>
                          <m:r>
                            <m:t xml:space="preserve">2</m:t>
                          </m:r>
                        </m:sub>
                      </m:sSub>
                    </m:e>
                  </m:d>
                </m:e>
                <m:e>
                  <m:r>
                    <m:t xml:space="preserve">⋯</m:t>
                  </m:r>
                </m:e>
                <m:e>
                  <m:r>
                    <m:t xml:space="preserve">sin</m:t>
                  </m:r>
                  <m:d>
                    <m:dPr>
                      <m:begChr m:val="("/>
                      <m:endChr m:val=")"/>
                    </m:dPr>
                    <m:e>
                      <m:sSub>
                        <m:e>
                          <m:r>
                            <m:t xml:space="preserve">ϕ</m:t>
                          </m:r>
                        </m:e>
                        <m:sub>
                          <m:r>
                            <m:t xml:space="preserve">1</m:t>
                          </m:r>
                        </m:sub>
                      </m:sSub>
                      <m:r>
                        <m:t xml:space="preserve">−</m:t>
                      </m:r>
                      <m:sSub>
                        <m:e>
                          <m:r>
                            <m:t xml:space="preserve">ϕ</m:t>
                          </m:r>
                        </m:e>
                        <m:sub>
                          <m:r>
                            <m:t xml:space="preserve">n</m:t>
                          </m:r>
                        </m:sub>
                      </m:sSub>
                    </m:e>
                  </m:d>
                </m:e>
              </m:mr>
              <m:mr>
                <m:e>
                  <m:r>
                    <m:t xml:space="preserve">sin</m:t>
                  </m:r>
                  <m:d>
                    <m:dPr>
                      <m:begChr m:val="("/>
                      <m:endChr m:val=")"/>
                    </m:dPr>
                    <m:e>
                      <m:sSub>
                        <m:e>
                          <m:r>
                            <m:t xml:space="preserve">ϕ</m:t>
                          </m:r>
                        </m:e>
                        <m:sub>
                          <m:r>
                            <m:t xml:space="preserve">2</m:t>
                          </m:r>
                        </m:sub>
                      </m:sSub>
                      <m:r>
                        <m:t xml:space="preserve">−</m:t>
                      </m:r>
                      <m:sSub>
                        <m:e>
                          <m:r>
                            <m:t xml:space="preserve">ϕ</m:t>
                          </m:r>
                        </m:e>
                        <m:sub>
                          <m:r>
                            <m:t xml:space="preserve">1</m:t>
                          </m:r>
                        </m:sub>
                      </m:sSub>
                    </m:e>
                  </m:d>
                </m:e>
                <m:e>
                  <m:r>
                    <m:t xml:space="preserve">sin</m:t>
                  </m:r>
                  <m:d>
                    <m:dPr>
                      <m:begChr m:val="("/>
                      <m:endChr m:val=")"/>
                    </m:dPr>
                    <m:e>
                      <m:sSub>
                        <m:e>
                          <m:r>
                            <m:t xml:space="preserve">ϕ</m:t>
                          </m:r>
                        </m:e>
                        <m:sub>
                          <m:r>
                            <m:t xml:space="preserve">2</m:t>
                          </m:r>
                        </m:sub>
                      </m:sSub>
                      <m:r>
                        <m:t xml:space="preserve">−</m:t>
                      </m:r>
                      <m:sSub>
                        <m:e>
                          <m:r>
                            <m:t xml:space="preserve">ϕ</m:t>
                          </m:r>
                        </m:e>
                        <m:sub>
                          <m:r>
                            <m:t xml:space="preserve">2</m:t>
                          </m:r>
                        </m:sub>
                      </m:sSub>
                    </m:e>
                  </m:d>
                </m:e>
                <m:e>
                  <m:r>
                    <m:t xml:space="preserve">⋯</m:t>
                  </m:r>
                </m:e>
                <m:e>
                  <m:r>
                    <m:t xml:space="preserve">sin</m:t>
                  </m:r>
                  <m:d>
                    <m:dPr>
                      <m:begChr m:val="("/>
                      <m:endChr m:val=")"/>
                    </m:dPr>
                    <m:e>
                      <m:sSub>
                        <m:e>
                          <m:r>
                            <m:t xml:space="preserve">ϕ</m:t>
                          </m:r>
                        </m:e>
                        <m:sub>
                          <m:r>
                            <m:t xml:space="preserve">2</m:t>
                          </m:r>
                        </m:sub>
                      </m:sSub>
                      <m:r>
                        <m:t xml:space="preserve">−</m:t>
                      </m:r>
                      <m:sSub>
                        <m:e>
                          <m:r>
                            <m:t xml:space="preserve">ϕ</m:t>
                          </m:r>
                        </m:e>
                        <m:sub>
                          <m:r>
                            <m:t xml:space="preserve">n</m:t>
                          </m:r>
                        </m:sub>
                      </m:sSub>
                    </m:e>
                  </m:d>
                </m:e>
              </m:mr>
              <m:mr>
                <m:e>
                  <m:r>
                    <m:t xml:space="preserve">⋮</m:t>
                  </m:r>
                </m:e>
                <m:e>
                  <m:r>
                    <m:t xml:space="preserve">⋮</m:t>
                  </m:r>
                </m:e>
                <m:e>
                  <m:r>
                    <m:t xml:space="preserve">⋱</m:t>
                  </m:r>
                </m:e>
                <m:e>
                  <m:r>
                    <m:t xml:space="preserve">⋮</m:t>
                  </m:r>
                </m:e>
              </m:mr>
              <m:mr>
                <m:e>
                  <m:r>
                    <m:t xml:space="preserve">sin</m:t>
                  </m:r>
                  <m:d>
                    <m:dPr>
                      <m:begChr m:val="("/>
                      <m:endChr m:val=")"/>
                    </m:dPr>
                    <m:e>
                      <m:sSub>
                        <m:e>
                          <m:r>
                            <m:t xml:space="preserve">ϕ</m:t>
                          </m:r>
                        </m:e>
                        <m:sub>
                          <m:r>
                            <m:t xml:space="preserve">n</m:t>
                          </m:r>
                        </m:sub>
                      </m:sSub>
                      <m:r>
                        <m:t xml:space="preserve">−</m:t>
                      </m:r>
                      <m:sSub>
                        <m:e>
                          <m:r>
                            <m:t xml:space="preserve">ϕ</m:t>
                          </m:r>
                        </m:e>
                        <m:sub>
                          <m:r>
                            <m:t xml:space="preserve">1</m:t>
                          </m:r>
                        </m:sub>
                      </m:sSub>
                    </m:e>
                  </m:d>
                </m:e>
                <m:e>
                  <m:r>
                    <m:t xml:space="preserve">sin</m:t>
                  </m:r>
                  <m:d>
                    <m:dPr>
                      <m:begChr m:val="("/>
                      <m:endChr m:val=")"/>
                    </m:dPr>
                    <m:e>
                      <m:sSub>
                        <m:e>
                          <m:r>
                            <m:t xml:space="preserve">ϕ</m:t>
                          </m:r>
                        </m:e>
                        <m:sub>
                          <m:r>
                            <m:t xml:space="preserve">n</m:t>
                          </m:r>
                        </m:sub>
                      </m:sSub>
                      <m:r>
                        <m:t xml:space="preserve">−</m:t>
                      </m:r>
                      <m:sSub>
                        <m:e>
                          <m:r>
                            <m:t xml:space="preserve">ϕ</m:t>
                          </m:r>
                        </m:e>
                        <m:sub>
                          <m:r>
                            <m:t xml:space="preserve">2</m:t>
                          </m:r>
                        </m:sub>
                      </m:sSub>
                    </m:e>
                  </m:d>
                </m:e>
                <m:e>
                  <m:r>
                    <m:t xml:space="preserve">⋯</m:t>
                  </m:r>
                </m:e>
                <m:e>
                  <m:r>
                    <m:t xml:space="preserve">sin</m:t>
                  </m:r>
                  <m:d>
                    <m:dPr>
                      <m:begChr m:val="("/>
                      <m:endChr m:val=")"/>
                    </m:dPr>
                    <m:e>
                      <m:sSub>
                        <m:e>
                          <m:r>
                            <m:t xml:space="preserve">ϕ</m:t>
                          </m:r>
                        </m:e>
                        <m:sub>
                          <m:r>
                            <m:t xml:space="preserve">n</m:t>
                          </m:r>
                        </m:sub>
                      </m:sSub>
                      <m:r>
                        <m:t xml:space="preserve">−</m:t>
                      </m:r>
                      <m:sSub>
                        <m:e>
                          <m:r>
                            <m:t xml:space="preserve">ϕ</m:t>
                          </m:r>
                        </m:e>
                        <m:sub>
                          <m:r>
                            <m:t xml:space="preserve">n</m:t>
                          </m:r>
                        </m:sub>
                      </m:sSub>
                    </m:e>
                  </m:d>
                </m:e>
              </m:mr>
            </m:m>
          </m:e>
        </m:d>
      </m:oMath>
      <w:r>
        <w:rPr/>
        <w:tab/>
      </w:r>
      <w:r>
        <w:rPr/>
        <w:t>(6)</w:t>
      </w:r>
    </w:p>
    <w:p>
      <w:pPr>
        <w:pStyle w:val="FirstParagraph"/>
        <w:rPr/>
      </w:pPr>
      <w:r>
        <w:rPr/>
        <w:t>The GASF encodes the summation of angular differences, capturing co-directional relationships, while the GADF encodes the difference of angular values, capturing orthogonality relationships and offering greater sensitivity to local phase variations [27]. In this study, both GASF and GADF representations are computed, and their relative efficacy is compared experimentally (see Section 5.2). Fig. </w:t>
      </w:r>
      <w:hyperlink w:anchor="fig2">
        <w:r>
          <w:rPr>
            <w:rStyle w:val="InternetLink"/>
          </w:rPr>
          <w:t>3</w:t>
        </w:r>
      </w:hyperlink>
      <w:r>
        <w:rPr/>
        <w:t xml:space="preserve"> shows the GASF and GADF representations of a transformer acoustic signal under normal conditions.</w:t>
      </w:r>
    </w:p>
    <w:p>
      <w:pPr>
        <w:pStyle w:val="ImageCaption"/>
        <w:rPr/>
      </w:pPr>
      <w:r>
        <w:rPr/>
      </w:r>
    </w:p>
    <w:p>
      <w:pPr>
        <w:pStyle w:val="ImageCaption"/>
        <w:rPr/>
      </w:pPr>
      <w:r>
        <w:rPr/>
      </w:r>
    </w:p>
    <w:p>
      <w:pPr>
        <w:pStyle w:val="ImageCaption"/>
        <w:rPr/>
      </w:pPr>
      <w:r>
        <w:rPr/>
      </w:r>
    </w:p>
    <w:p>
      <w:pPr>
        <w:pStyle w:val="ImageCaption"/>
        <w:rPr/>
      </w:pPr>
      <w:r>
        <w:rPr/>
      </w:r>
    </w:p>
    <w:tbl>
      <w:tblPr>
        <w:tblW w:w="5000" w:type="pct"/>
        <w:jc w:val="start"/>
        <w:tblInd w:w="55" w:type="dxa"/>
        <w:tblLayout w:type="fixed"/>
        <w:tblCellMar>
          <w:top w:w="55" w:type="dxa"/>
          <w:start w:w="55" w:type="dxa"/>
          <w:bottom w:w="55" w:type="dxa"/>
          <w:end w:w="55" w:type="dxa"/>
        </w:tblCellMar>
      </w:tblPr>
      <w:tblGrid>
        <w:gridCol w:w="4680"/>
        <w:gridCol w:w="4680"/>
      </w:tblGrid>
      <w:tr>
        <w:trPr/>
        <w:tc>
          <w:tcPr>
            <w:tcW w:w="4680" w:type="dxa"/>
            <w:tcBorders/>
          </w:tcPr>
          <w:p>
            <w:pPr>
              <w:pStyle w:val="ImageCaption"/>
              <w:widowControl w:val="false"/>
              <w:jc w:val="center"/>
              <w:rPr/>
            </w:pPr>
            <w:r>
              <w:rPr/>
              <w:drawing>
                <wp:anchor behindDoc="0" distT="0" distB="0" distL="0" distR="0" simplePos="0" locked="0" layoutInCell="0" allowOverlap="1" relativeHeight="461">
                  <wp:simplePos x="0" y="0"/>
                  <wp:positionH relativeFrom="column">
                    <wp:align>center</wp:align>
                  </wp:positionH>
                  <wp:positionV relativeFrom="paragraph">
                    <wp:posOffset>635</wp:posOffset>
                  </wp:positionV>
                  <wp:extent cx="2133600" cy="2133600"/>
                  <wp:effectExtent l="0" t="0" r="0" b="0"/>
                  <wp:wrapSquare wrapText="largest"/>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2133600" cy="2133600"/>
                          </a:xfrm>
                          <a:prstGeom prst="rect">
                            <a:avLst/>
                          </a:prstGeom>
                        </pic:spPr>
                      </pic:pic>
                    </a:graphicData>
                  </a:graphic>
                </wp:anchor>
              </w:drawing>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ImageCaption"/>
              <w:widowControl w:val="false"/>
              <w:jc w:val="center"/>
              <w:rPr/>
            </w:pPr>
            <w:r>
              <w:rPr/>
            </w:r>
          </w:p>
          <w:p>
            <w:pPr>
              <w:pStyle w:val="ImageCaption"/>
              <w:widowControl w:val="false"/>
              <w:spacing w:before="0" w:after="120"/>
              <w:jc w:val="center"/>
              <w:rPr/>
            </w:pPr>
            <w:r>
              <w:rPr/>
              <w:t>(a)</w:t>
            </w:r>
          </w:p>
        </w:tc>
        <w:tc>
          <w:tcPr>
            <w:tcW w:w="4680" w:type="dxa"/>
            <w:tcBorders/>
          </w:tcPr>
          <w:p>
            <w:pPr>
              <w:pStyle w:val="ImageCaption"/>
              <w:widowControl w:val="false"/>
              <w:jc w:val="center"/>
              <w:rPr/>
            </w:pPr>
            <w:r>
              <w:rPr/>
              <w:drawing>
                <wp:anchor behindDoc="0" distT="0" distB="0" distL="0" distR="0" simplePos="0" locked="0" layoutInCell="0" allowOverlap="1" relativeHeight="459">
                  <wp:simplePos x="0" y="0"/>
                  <wp:positionH relativeFrom="column">
                    <wp:align>center</wp:align>
                  </wp:positionH>
                  <wp:positionV relativeFrom="paragraph">
                    <wp:posOffset>635</wp:posOffset>
                  </wp:positionV>
                  <wp:extent cx="2133600" cy="213360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2133600" cy="2133600"/>
                          </a:xfrm>
                          <a:prstGeom prst="rect">
                            <a:avLst/>
                          </a:prstGeom>
                        </pic:spPr>
                      </pic:pic>
                    </a:graphicData>
                  </a:graphic>
                </wp:anchor>
              </w:drawing>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jc w:val="center"/>
              <w:rPr/>
            </w:pPr>
            <w:r>
              <w:rPr/>
            </w:r>
          </w:p>
          <w:p>
            <w:pPr>
              <w:pStyle w:val="ImageCaption"/>
              <w:widowControl w:val="false"/>
              <w:spacing w:before="0" w:after="120"/>
              <w:jc w:val="center"/>
              <w:rPr/>
            </w:pPr>
            <w:r>
              <w:rPr/>
              <w:t>(b)</w:t>
            </w:r>
          </w:p>
        </w:tc>
      </w:tr>
    </w:tbl>
    <w:p>
      <w:pPr>
        <w:pStyle w:val="ImageCaption"/>
        <w:rPr/>
      </w:pPr>
      <w:r>
        <w:rPr/>
      </w:r>
    </w:p>
    <w:p>
      <w:pPr>
        <w:pStyle w:val="ImageCaption"/>
        <w:rPr/>
      </w:pPr>
      <w:r>
        <w:rPr/>
        <w:t>Fig. </w:t>
      </w:r>
      <w:hyperlink w:anchor="fig2">
        <w:r>
          <w:rPr>
            <w:rStyle w:val="InternetLink"/>
          </w:rPr>
          <w:t>3</w:t>
        </w:r>
      </w:hyperlink>
      <w:r>
        <w:rPr>
          <w:rStyle w:val="InternetLink"/>
        </w:rPr>
        <w:t xml:space="preserve"> </w:t>
      </w:r>
      <w:r>
        <w:rPr/>
        <w:t>GAF representations of a transformer acoustic signal: (a) GASF, (b) GADF. The GADF representation exhibits stronger contrast in the off-diagonal texture patterns, which capture transient fault signatures more distinctly.</w:t>
      </w:r>
      <w:bookmarkEnd w:id="1"/>
      <w:bookmarkEnd w:id="3"/>
    </w:p>
    <w:p>
      <w:pPr>
        <w:pStyle w:val="Heading1"/>
        <w:rPr/>
      </w:pPr>
      <w:bookmarkStart w:id="4" w:name="X80ba29ed5fefb677baa1dc5e73bcf52b767e6a0"/>
      <w:r>
        <w:rPr/>
        <w:t>Multi-Modal Feature Extraction and Fusion</w:t>
      </w:r>
    </w:p>
    <w:p>
      <w:pPr>
        <w:pStyle w:val="Heading2"/>
        <w:rPr/>
      </w:pPr>
      <w:bookmarkStart w:id="5" w:name="mel-gaf-three-channel-fusion-strategy"/>
      <w:r>
        <w:rPr/>
        <w:t>Mel-GAF Three-Channel Fusion Strategy</w:t>
      </w:r>
    </w:p>
    <w:p>
      <w:pPr>
        <w:pStyle w:val="FirstParagraph"/>
        <w:rPr/>
      </w:pPr>
      <w:r>
        <w:rPr/>
        <w:t>Feature fusion is a well-established technique for combining complementary information from heterogeneous representations to improve model performance [28, 29]. In this work, we propose a three-channel fusion strategy that constructs an RGB-like image where each color channel encodes a distinct modality or derived feature, enabling the CNN backbone to learn joint representations across spectral, temporal, and differential domains.</w:t>
      </w:r>
    </w:p>
    <w:p>
      <w:pPr>
        <w:pStyle w:val="TextBody"/>
        <w:rPr/>
      </w:pPr>
      <w:r>
        <w:rPr/>
        <w:t xml:space="preserve">Given a 1-second acoustic segment, the Mel spectrogram </w:t>
      </w:r>
      <w:r>
        <w:rPr/>
      </w:r>
      <m:oMath xmlns:m="http://schemas.openxmlformats.org/officeDocument/2006/math">
        <m:r>
          <m:t xml:space="preserve">M</m:t>
        </m:r>
        <m:r>
          <m:t xml:space="preserve">∈</m:t>
        </m:r>
        <m:sSup>
          <m:e>
            <m:r>
              <m:t xml:space="preserve">R</m:t>
            </m:r>
          </m:e>
          <m:sup>
            <m:r>
              <m:t xml:space="preserve">H</m:t>
            </m:r>
            <m:r>
              <m:t xml:space="preserve">×</m:t>
            </m:r>
            <m:r>
              <m:t xml:space="preserve">W</m:t>
            </m:r>
          </m:sup>
        </m:sSup>
      </m:oMath>
      <w:r>
        <w:rPr/>
        <w:t xml:space="preserve"> and the GADF representation </w:t>
      </w:r>
      <w:r>
        <w:rPr/>
      </w:r>
      <m:oMath xmlns:m="http://schemas.openxmlformats.org/officeDocument/2006/math">
        <m:sSub>
          <m:e>
            <m:r>
              <m:t xml:space="preserve">G</m:t>
            </m:r>
          </m:e>
          <m:sub>
            <m:r>
              <m:t xml:space="preserve">d</m:t>
            </m:r>
          </m:sub>
        </m:sSub>
        <m:r>
          <m:t xml:space="preserve">∈</m:t>
        </m:r>
        <m:sSup>
          <m:e>
            <m:r>
              <m:t xml:space="preserve">R</m:t>
            </m:r>
          </m:e>
          <m:sup>
            <m:r>
              <m:t xml:space="preserve">n</m:t>
            </m:r>
            <m:r>
              <m:t xml:space="preserve">×</m:t>
            </m:r>
            <m:r>
              <m:t xml:space="preserve">n</m:t>
            </m:r>
          </m:sup>
        </m:sSup>
      </m:oMath>
      <w:r>
        <w:rPr/>
        <w:t xml:space="preserve"> are computed independently. Both representations are first resized to a unified spatial resolution of </w:t>
      </w:r>
      <w:r>
        <w:rPr/>
      </w:r>
      <m:oMath xmlns:m="http://schemas.openxmlformats.org/officeDocument/2006/math">
        <m:r>
          <m:t xml:space="preserve">224</m:t>
        </m:r>
        <m:r>
          <m:t xml:space="preserve">×</m:t>
        </m:r>
        <m:r>
          <m:t xml:space="preserve">224</m:t>
        </m:r>
      </m:oMath>
      <w:r>
        <w:rPr/>
        <w:t xml:space="preserve"> pixels using bicubic interpolation and normalized to the range </w:t>
      </w:r>
      <w:r>
        <w:rPr/>
      </w:r>
      <m:oMath xmlns:m="http://schemas.openxmlformats.org/officeDocument/2006/math">
        <m:d>
          <m:dPr>
            <m:begChr m:val="["/>
            <m:endChr m:val=")"/>
          </m:dPr>
          <m:e>
            <m:r>
              <m:t xml:space="preserve">0</m:t>
            </m:r>
            <m:r>
              <m:t xml:space="preserve">,</m:t>
            </m:r>
            <m:r>
              <m:t xml:space="preserve">1</m:t>
            </m:r>
          </m:e>
        </m:d>
      </m:oMath>
      <w:r>
        <w:rPr/>
        <w:t xml:space="preserve">. The three-channel fused image </w:t>
      </w:r>
      <w:r>
        <w:rPr/>
      </w:r>
      <m:oMath xmlns:m="http://schemas.openxmlformats.org/officeDocument/2006/math">
        <m:sSub>
          <m:e>
            <m:r>
              <m:t xml:space="preserve">I</m:t>
            </m:r>
          </m:e>
          <m:sub>
            <m:r>
              <m:rPr>
                <m:lit/>
                <m:nor/>
              </m:rPr>
              <m:t xml:space="preserve">fused</m:t>
            </m:r>
          </m:sub>
        </m:sSub>
        <m:r>
          <m:t xml:space="preserve">∈</m:t>
        </m:r>
        <m:sSup>
          <m:e>
            <m:r>
              <m:t xml:space="preserve">R</m:t>
            </m:r>
          </m:e>
          <m:sup>
            <m:r>
              <m:t xml:space="preserve">3</m:t>
            </m:r>
            <m:r>
              <m:t xml:space="preserve">×</m:t>
            </m:r>
            <m:r>
              <m:t xml:space="preserve">224</m:t>
            </m:r>
            <m:r>
              <m:t xml:space="preserve">×</m:t>
            </m:r>
            <m:r>
              <m:t xml:space="preserve">224</m:t>
            </m:r>
          </m:sup>
        </m:sSup>
      </m:oMath>
      <w:r>
        <w:rPr/>
        <w:t xml:space="preserve"> is then constructed as:</w:t>
      </w:r>
    </w:p>
    <w:p>
      <w:pPr>
        <w:pStyle w:val="TextBody"/>
        <w:jc w:val="center"/>
        <w:rPr/>
      </w:pPr>
      <w:r>
        <w:rPr/>
      </w:r>
      <m:oMath xmlns:m="http://schemas.openxmlformats.org/officeDocument/2006/math">
        <m:sSub>
          <m:e>
            <m:r>
              <m:t xml:space="preserve">I</m:t>
            </m:r>
          </m:e>
          <m:sub>
            <m:r>
              <m:rPr>
                <m:lit/>
                <m:nor/>
              </m:rPr>
              <m:t xml:space="preserve">fused</m:t>
            </m:r>
          </m:sub>
        </m:sSub>
        <m:r>
          <m:t xml:space="preserve">=</m:t>
        </m:r>
        <m:d>
          <m:dPr>
            <m:begChr m:val="["/>
            <m:endChr m:val=")"/>
          </m:dPr>
          <m:e>
            <m:m>
              <m:mr>
                <m:e>
                  <m:sSub>
                    <m:e>
                      <m:r>
                        <m:t xml:space="preserve">I</m:t>
                      </m:r>
                    </m:e>
                    <m:sub>
                      <m:r>
                        <m:t xml:space="preserve">R</m:t>
                      </m:r>
                    </m:sub>
                  </m:sSub>
                </m:e>
              </m:mr>
              <m:mr>
                <m:e>
                  <m:sSub>
                    <m:e>
                      <m:r>
                        <m:t xml:space="preserve">I</m:t>
                      </m:r>
                    </m:e>
                    <m:sub>
                      <m:r>
                        <m:t xml:space="preserve">G</m:t>
                      </m:r>
                    </m:sub>
                  </m:sSub>
                </m:e>
              </m:mr>
              <m:mr>
                <m:e>
                  <m:sSub>
                    <m:e>
                      <m:r>
                        <m:t xml:space="preserve">I</m:t>
                      </m:r>
                    </m:e>
                    <m:sub>
                      <m:r>
                        <m:t xml:space="preserve">B</m:t>
                      </m:r>
                    </m:sub>
                  </m:sSub>
                </m:e>
              </m:mr>
            </m:m>
          </m:e>
        </m:d>
        <m:r>
          <m:t xml:space="preserve">=</m:t>
        </m:r>
        <m:d>
          <m:dPr>
            <m:begChr m:val="["/>
            <m:endChr m:val=")"/>
          </m:dPr>
          <m:e>
            <m:m>
              <m:mr>
                <m:e>
                  <m:sSub>
                    <m:e>
                      <m:r>
                        <m:t xml:space="preserve">M</m:t>
                      </m:r>
                    </m:e>
                    <m:sub>
                      <m:r>
                        <m:rPr>
                          <m:lit/>
                          <m:nor/>
                        </m:rPr>
                        <m:t xml:space="preserve">norm</m:t>
                      </m:r>
                    </m:sub>
                  </m:sSub>
                </m:e>
              </m:mr>
              <m:mr>
                <m:e>
                  <m:sSub>
                    <m:e>
                      <m:r>
                        <m:t xml:space="preserve">G</m:t>
                      </m:r>
                    </m:e>
                    <m:sub>
                      <m:r>
                        <m:t xml:space="preserve">d</m:t>
                      </m:r>
                      <m:r>
                        <m:t xml:space="preserve">,</m:t>
                      </m:r>
                      <m:r>
                        <m:rPr>
                          <m:lit/>
                          <m:nor/>
                        </m:rPr>
                        <m:t xml:space="preserve">norm</m:t>
                      </m:r>
                    </m:sub>
                  </m:sSub>
                </m:e>
              </m:mr>
              <m:mr>
                <m:e>
                  <m:d>
                    <m:dPr>
                      <m:begChr m:val="|"/>
                      <m:endChr m:val=")"/>
                    </m:dPr>
                    <m:e>
                      <m:sSub>
                        <m:e>
                          <m:r>
                            <m:t xml:space="preserve">M</m:t>
                          </m:r>
                        </m:e>
                        <m:sub>
                          <m:r>
                            <m:rPr>
                              <m:lit/>
                              <m:nor/>
                            </m:rPr>
                            <m:t xml:space="preserve">norm</m:t>
                          </m:r>
                        </m:sub>
                      </m:sSub>
                      <m:r>
                        <m:t xml:space="preserve">−</m:t>
                      </m:r>
                      <m:sSub>
                        <m:e>
                          <m:r>
                            <m:t xml:space="preserve">G</m:t>
                          </m:r>
                        </m:e>
                        <m:sub>
                          <m:r>
                            <m:t xml:space="preserve">d</m:t>
                          </m:r>
                          <m:r>
                            <m:t xml:space="preserve">,</m:t>
                          </m:r>
                          <m:r>
                            <m:rPr>
                              <m:lit/>
                              <m:nor/>
                            </m:rPr>
                            <m:t xml:space="preserve">norm</m:t>
                          </m:r>
                        </m:sub>
                      </m:sSub>
                    </m:e>
                  </m:d>
                </m:e>
              </m:mr>
            </m:m>
          </m:e>
        </m:d>
      </m:oMath>
      <w:r>
        <w:rPr/>
        <w:tab/>
      </w:r>
      <w:r>
        <w:rPr/>
        <w:t>(7)</w:t>
      </w:r>
    </w:p>
    <w:p>
      <w:pPr>
        <w:pStyle w:val="FirstParagraph"/>
        <w:rPr/>
      </w:pPr>
      <w:bookmarkStart w:id="6" w:name="mel-gaf-three-channel-fusion-strategy"/>
      <w:r>
        <w:rPr/>
        <w:t>where the red (R) channel encodes the Mel spectrogram energy distribution, the green (G) channel captures the GADF-derived temporal correlation texture, and the blue (B) channel encodes the pixel-wise absolute difference between the two modalities. The difference channel serves a dual purpose: (i) it highlights regions where the spectral energy and temporal correlation patterns diverge, which are indicative of anomalous fault signatures; and (ii) it provides the network with an explicit representation of cross-modal complementarity, facilitating the learning of synergistic features [30]. This design ensures that each channel carries non-redundant information, enabling the CNN to exploit both modality-specific and cross-modal patterns during training.</w:t>
      </w:r>
      <w:bookmarkEnd w:id="6"/>
    </w:p>
    <w:p>
      <w:pPr>
        <w:pStyle w:val="Heading2"/>
        <w:rPr/>
      </w:pPr>
      <w:bookmarkStart w:id="7" w:name="image-preprocessing-and-gamma-correction"/>
      <w:r>
        <w:rPr/>
        <w:t>Image Preprocessing and Gamma Correction</w:t>
      </w:r>
    </w:p>
    <w:p>
      <w:pPr>
        <w:pStyle w:val="FirstParagraph"/>
        <w:rPr/>
      </w:pPr>
      <w:r>
        <w:rPr/>
        <w:t>In the raw fused images, the Mel spectrogram channel (R) tends to exhibit low visual saliency in low-energy frequency regions, where the spectral amplitude is orders of magnitude smaller than in dominant harmonics. This dynamic range imbalance can cause the network to overlook subtle but diagnostically important features in low-energy bands. To address this, gamma correction is applied as a preprocessing step to re-distribute pixel intensities non-linearly.</w:t>
      </w:r>
    </w:p>
    <w:p>
      <w:pPr>
        <w:pStyle w:val="TextBody"/>
        <w:rPr/>
      </w:pPr>
      <w:r>
        <w:rPr/>
        <w:t>Gamma correction is defined as [31]:</w:t>
      </w:r>
    </w:p>
    <w:p>
      <w:pPr>
        <w:pStyle w:val="TextBody"/>
        <w:jc w:val="center"/>
        <w:rPr/>
      </w:pPr>
      <w:r>
        <w:rPr/>
      </w:r>
      <m:oMath xmlns:m="http://schemas.openxmlformats.org/officeDocument/2006/math">
        <m:sSub>
          <m:e>
            <m:r>
              <m:t xml:space="preserve">I</m:t>
            </m:r>
          </m:e>
          <m:sub>
            <m:r>
              <m:rPr>
                <m:lit/>
                <m:nor/>
              </m:rPr>
              <m:t xml:space="preserve">out</m:t>
            </m:r>
          </m:sub>
        </m:sSub>
        <m:r>
          <m:t xml:space="preserve">=</m:t>
        </m:r>
        <m:r>
          <m:t xml:space="preserve">c</m:t>
        </m:r>
        <m:r>
          <m:t xml:space="preserve">⋅</m:t>
        </m:r>
        <m:sSubSup>
          <m:e>
            <m:r>
              <m:t xml:space="preserve">I</m:t>
            </m:r>
          </m:e>
          <m:sub>
            <m:r>
              <m:rPr>
                <m:lit/>
                <m:nor/>
              </m:rPr>
              <m:t xml:space="preserve">in</m:t>
            </m:r>
          </m:sub>
          <m:sup>
            <m:r>
              <m:t xml:space="preserve">γ</m:t>
            </m:r>
          </m:sup>
        </m:sSubSup>
      </m:oMath>
      <w:r>
        <w:rPr/>
        <w:tab/>
      </w:r>
      <w:r>
        <w:rPr/>
        <w:t>(8)</w:t>
      </w:r>
    </w:p>
    <w:p>
      <w:pPr>
        <w:pStyle w:val="FirstParagraph"/>
        <w:rPr/>
      </w:pPr>
      <w:r>
        <w:rPr/>
        <w:t xml:space="preserve">where </w:t>
      </w:r>
      <w:r>
        <w:rPr/>
      </w:r>
      <m:oMath xmlns:m="http://schemas.openxmlformats.org/officeDocument/2006/math">
        <m:sSub>
          <m:e>
            <m:r>
              <m:t xml:space="preserve">I</m:t>
            </m:r>
          </m:e>
          <m:sub>
            <m:r>
              <m:rPr>
                <m:lit/>
                <m:nor/>
              </m:rPr>
              <m:t xml:space="preserve">in</m:t>
            </m:r>
          </m:sub>
        </m:sSub>
        <m:r>
          <m:t xml:space="preserve">,</m:t>
        </m:r>
        <m:sSub>
          <m:e>
            <m:r>
              <m:t xml:space="preserve">I</m:t>
            </m:r>
          </m:e>
          <m:sub>
            <m:r>
              <m:rPr>
                <m:lit/>
                <m:nor/>
              </m:rPr>
              <m:t xml:space="preserve">out</m:t>
            </m:r>
          </m:sub>
        </m:sSub>
        <m:r>
          <m:t xml:space="preserve">∈</m:t>
        </m:r>
        <m:d>
          <m:dPr>
            <m:begChr m:val="["/>
            <m:endChr m:val=")"/>
          </m:dPr>
          <m:e>
            <m:r>
              <m:t xml:space="preserve">0</m:t>
            </m:r>
            <m:r>
              <m:t xml:space="preserve">,</m:t>
            </m:r>
            <m:r>
              <m:t xml:space="preserve">1</m:t>
            </m:r>
          </m:e>
        </m:d>
      </m:oMath>
      <w:r>
        <w:rPr/>
        <w:t xml:space="preserve"> are the normalized input and output pixel intensities, respectively. The parameter </w:t>
      </w:r>
      <w:r>
        <w:rPr/>
      </w:r>
      <m:oMath xmlns:m="http://schemas.openxmlformats.org/officeDocument/2006/math">
        <m:r>
          <m:t xml:space="preserve">c</m:t>
        </m:r>
      </m:oMath>
      <w:r>
        <w:rPr/>
        <w:t xml:space="preserve"> is a linear scaling coefficient and </w:t>
      </w:r>
      <w:r>
        <w:rPr/>
      </w:r>
      <m:oMath xmlns:m="http://schemas.openxmlformats.org/officeDocument/2006/math">
        <m:r>
          <m:t xml:space="preserve">γ</m:t>
        </m:r>
      </m:oMath>
      <w:r>
        <w:rPr/>
        <w:t xml:space="preserve"> is the gamma exponent that controls the degree of non-linear mapping. When </w:t>
      </w:r>
      <w:r>
        <w:rPr/>
      </w:r>
      <m:oMath xmlns:m="http://schemas.openxmlformats.org/officeDocument/2006/math">
        <m:r>
          <m:t xml:space="preserve">c</m:t>
        </m:r>
        <m:r>
          <m:t xml:space="preserve">=</m:t>
        </m:r>
        <m:r>
          <m:t xml:space="preserve">1</m:t>
        </m:r>
      </m:oMath>
      <w:r>
        <w:rPr/>
        <w:t xml:space="preserve">, the mapping reduces to a pure power-law transformation. For </w:t>
      </w:r>
      <w:r>
        <w:rPr/>
      </w:r>
      <m:oMath xmlns:m="http://schemas.openxmlformats.org/officeDocument/2006/math">
        <m:r>
          <m:t xml:space="preserve">γ</m:t>
        </m:r>
        <m:r>
          <m:t xml:space="preserve">&gt;</m:t>
        </m:r>
        <m:r>
          <m:t xml:space="preserve">1</m:t>
        </m:r>
      </m:oMath>
      <w:r>
        <w:rPr/>
        <w:t xml:space="preserve">, the transformation expands the dynamic range of dark regions (low </w:t>
      </w:r>
      <w:r>
        <w:rPr/>
      </w:r>
      <m:oMath xmlns:m="http://schemas.openxmlformats.org/officeDocument/2006/math">
        <m:sSub>
          <m:e>
            <m:r>
              <m:t xml:space="preserve">I</m:t>
            </m:r>
          </m:e>
          <m:sub>
            <m:r>
              <m:rPr>
                <m:lit/>
                <m:nor/>
              </m:rPr>
              <m:t xml:space="preserve">in</m:t>
            </m:r>
          </m:sub>
        </m:sSub>
      </m:oMath>
      <w:r>
        <w:rPr/>
        <w:t xml:space="preserve">) while compressing bright regions (high </w:t>
      </w:r>
      <w:r>
        <w:rPr/>
      </w:r>
      <m:oMath xmlns:m="http://schemas.openxmlformats.org/officeDocument/2006/math">
        <m:sSub>
          <m:e>
            <m:r>
              <m:t xml:space="preserve">I</m:t>
            </m:r>
          </m:e>
          <m:sub>
            <m:r>
              <m:rPr>
                <m:lit/>
                <m:nor/>
              </m:rPr>
              <m:t xml:space="preserve">in</m:t>
            </m:r>
          </m:sub>
        </m:sSub>
      </m:oMath>
      <w:r>
        <w:rPr/>
        <w:t xml:space="preserve">), thereby enhancing contrast in low-intensity areas. The parameter </w:t>
      </w:r>
      <w:r>
        <w:rPr/>
      </w:r>
      <m:oMath xmlns:m="http://schemas.openxmlformats.org/officeDocument/2006/math">
        <m:r>
          <m:t xml:space="preserve">c</m:t>
        </m:r>
        <m:r>
          <m:t xml:space="preserve">≠</m:t>
        </m:r>
        <m:r>
          <m:t xml:space="preserve">1</m:t>
        </m:r>
      </m:oMath>
      <w:r>
        <w:rPr/>
        <w:t xml:space="preserve"> shifts the overall intensity level uniformly and is set to </w:t>
      </w:r>
      <w:r>
        <w:rPr/>
      </w:r>
      <m:oMath xmlns:m="http://schemas.openxmlformats.org/officeDocument/2006/math">
        <m:r>
          <m:t xml:space="preserve">c</m:t>
        </m:r>
        <m:r>
          <m:t xml:space="preserve">=</m:t>
        </m:r>
        <m:r>
          <m:t xml:space="preserve">1</m:t>
        </m:r>
      </m:oMath>
      <w:r>
        <w:rPr/>
        <w:t xml:space="preserve"> in this work, as the subsequent PCNN processing provides adaptive intensity normalization. However, in scenarios where a global brightness offset is required—for instance, when compensating for systematic sensor gain variations—</w:t>
      </w:r>
      <w:r>
        <w:rPr/>
      </w:r>
      <m:oMath xmlns:m="http://schemas.openxmlformats.org/officeDocument/2006/math">
        <m:r>
          <m:t xml:space="preserve">c</m:t>
        </m:r>
      </m:oMath>
      <w:r>
        <w:rPr/>
        <w:t xml:space="preserve"> can be tuned accordingly.</w:t>
      </w:r>
    </w:p>
    <w:p>
      <w:pPr>
        <w:pStyle w:val="TextBody"/>
        <w:rPr/>
      </w:pPr>
      <w:r>
        <w:rPr/>
        <w:t xml:space="preserve">The selection of </w:t>
      </w:r>
      <w:r>
        <w:rPr/>
      </w:r>
      <m:oMath xmlns:m="http://schemas.openxmlformats.org/officeDocument/2006/math">
        <m:r>
          <m:t xml:space="preserve">γ</m:t>
        </m:r>
        <m:r>
          <m:t xml:space="preserve">=</m:t>
        </m:r>
        <m:r>
          <m:t xml:space="preserve">1.7</m:t>
        </m:r>
      </m:oMath>
      <w:r>
        <w:rPr/>
        <w:t xml:space="preserve"> was determined through systematic hyperparameter optimization over a grid spanning </w:t>
      </w:r>
      <w:r>
        <w:rPr/>
      </w:r>
      <m:oMath xmlns:m="http://schemas.openxmlformats.org/officeDocument/2006/math">
        <m:r>
          <m:t xml:space="preserve">γ</m:t>
        </m:r>
        <m:r>
          <m:t xml:space="preserve">=</m:t>
        </m:r>
        <m:r>
          <m:t xml:space="preserve">0.5</m:t>
        </m:r>
      </m:oMath>
      <w:r>
        <w:rPr/>
        <w:t xml:space="preserve"> to </w:t>
      </w:r>
      <w:r>
        <w:rPr/>
      </w:r>
      <m:oMath xmlns:m="http://schemas.openxmlformats.org/officeDocument/2006/math">
        <m:r>
          <m:t xml:space="preserve">3.0</m:t>
        </m:r>
      </m:oMath>
      <w:r>
        <w:rPr/>
        <w:t xml:space="preserve"> (see Section 5.4 for detailed sensitivity analysis). Values of </w:t>
      </w:r>
      <w:r>
        <w:rPr/>
      </w:r>
      <m:oMath xmlns:m="http://schemas.openxmlformats.org/officeDocument/2006/math">
        <m:r>
          <m:t xml:space="preserve">γ</m:t>
        </m:r>
        <m:r>
          <m:t xml:space="preserve">&lt;</m:t>
        </m:r>
        <m:r>
          <m:t xml:space="preserve">1.5</m:t>
        </m:r>
      </m:oMath>
      <w:r>
        <w:rPr/>
        <w:t xml:space="preserve"> provided insufficient contrast enhancement in low-energy regions, while </w:t>
      </w:r>
      <w:r>
        <w:rPr/>
      </w:r>
      <m:oMath xmlns:m="http://schemas.openxmlformats.org/officeDocument/2006/math">
        <m:r>
          <m:t xml:space="preserve">γ</m:t>
        </m:r>
        <m:r>
          <m:t xml:space="preserve">&gt;</m:t>
        </m:r>
        <m:r>
          <m:t xml:space="preserve">2.0</m:t>
        </m:r>
      </m:oMath>
      <w:r>
        <w:rPr/>
        <w:t xml:space="preserve"> led to over-saturation and loss of texture detail in high-energy regions. The optimal value </w:t>
      </w:r>
      <w:r>
        <w:rPr/>
      </w:r>
      <m:oMath xmlns:m="http://schemas.openxmlformats.org/officeDocument/2006/math">
        <m:r>
          <m:t xml:space="preserve">γ</m:t>
        </m:r>
        <m:r>
          <m:t xml:space="preserve">=</m:t>
        </m:r>
        <m:r>
          <m:t xml:space="preserve">1.7</m:t>
        </m:r>
      </m:oMath>
      <w:r>
        <w:rPr/>
        <w:t xml:space="preserve"> achieves the best trade-off, enhancing the visibility of low-energy spectral features without distorting the overall energy distribution.</w:t>
      </w:r>
      <w:bookmarkEnd w:id="7"/>
    </w:p>
    <w:p>
      <w:pPr>
        <w:pStyle w:val="Heading2"/>
        <w:rPr/>
      </w:pPr>
      <w:bookmarkStart w:id="8" w:name="bicubic-interpolation"/>
      <w:r>
        <w:rPr/>
        <w:t>Bicubic Interpolation</w:t>
      </w:r>
    </w:p>
    <w:p>
      <w:pPr>
        <w:pStyle w:val="FirstParagraph"/>
        <w:rPr/>
      </w:pPr>
      <w:r>
        <w:rPr/>
        <w:t xml:space="preserve">Image resizing is required to ensure dimensional consistency between the Mel spectrogram and GADF representations before fusion. Bicubic interpolation was selected over nearest-neighbor and bilinear methods due to its superior preservation of fine texture and edge structures, which are critical for fault feature discrimination [32]. Given a source image </w:t>
      </w:r>
      <w:r>
        <w:rPr/>
      </w:r>
      <m:oMath xmlns:m="http://schemas.openxmlformats.org/officeDocument/2006/math">
        <m:r>
          <m:t xml:space="preserve">I</m:t>
        </m:r>
      </m:oMath>
      <w:r>
        <w:rPr/>
        <w:t xml:space="preserve">, the interpolated pixel value at target coordinate </w:t>
      </w:r>
      <w:r>
        <w:rPr/>
      </w:r>
      <m:oMath xmlns:m="http://schemas.openxmlformats.org/officeDocument/2006/math">
        <m:d>
          <m:dPr>
            <m:begChr m:val="("/>
            <m:endChr m:val=")"/>
          </m:dPr>
          <m:e>
            <m:r>
              <m:t xml:space="preserve">x</m:t>
            </m:r>
            <m:r>
              <m:t xml:space="preserve">,</m:t>
            </m:r>
            <m:r>
              <m:t xml:space="preserve">y</m:t>
            </m:r>
          </m:e>
        </m:d>
      </m:oMath>
      <w:r>
        <w:rPr/>
        <w:t xml:space="preserve"> is computed as a weighted sum over a </w:t>
      </w:r>
      <w:r>
        <w:rPr/>
      </w:r>
      <m:oMath xmlns:m="http://schemas.openxmlformats.org/officeDocument/2006/math">
        <m:r>
          <m:t xml:space="preserve">4</m:t>
        </m:r>
        <m:r>
          <m:t xml:space="preserve">×</m:t>
        </m:r>
        <m:r>
          <m:t xml:space="preserve">4</m:t>
        </m:r>
      </m:oMath>
      <w:r>
        <w:rPr/>
        <w:t xml:space="preserve"> neighborhood of the source:</w:t>
      </w:r>
    </w:p>
    <w:p>
      <w:pPr>
        <w:pStyle w:val="TextBody"/>
        <w:jc w:val="center"/>
        <w:rPr/>
      </w:pPr>
      <w:r>
        <w:rPr/>
      </w:r>
      <m:oMath xmlns:m="http://schemas.openxmlformats.org/officeDocument/2006/math">
        <m:r>
          <m:t xml:space="preserve">P</m:t>
        </m:r>
        <m:d>
          <m:dPr>
            <m:begChr m:val="("/>
            <m:endChr m:val=")"/>
          </m:dPr>
          <m:e>
            <m:r>
              <m:t xml:space="preserve">x</m:t>
            </m:r>
            <m:r>
              <m:t xml:space="preserve">,</m:t>
            </m:r>
            <m:r>
              <m:t xml:space="preserve">y</m:t>
            </m:r>
          </m:e>
        </m:d>
        <m:r>
          <m:t xml:space="preserve">=</m:t>
        </m:r>
        <m:nary>
          <m:naryPr>
            <m:chr m:val="∑"/>
          </m:naryPr>
          <m:sub>
            <m:r>
              <m:t xml:space="preserve">i</m:t>
            </m:r>
            <m:r>
              <m:t xml:space="preserve">=</m:t>
            </m:r>
            <m:r>
              <m:t xml:space="preserve">−</m:t>
            </m:r>
            <m:r>
              <m:t xml:space="preserve">1</m:t>
            </m:r>
          </m:sub>
          <m:sup>
            <m:r>
              <m:t xml:space="preserve">2</m:t>
            </m:r>
          </m:sup>
          <m:e>
            <m:nary>
              <m:naryPr>
                <m:chr m:val="∑"/>
              </m:naryPr>
              <m:sub>
                <m:r>
                  <m:t xml:space="preserve">j</m:t>
                </m:r>
                <m:r>
                  <m:t xml:space="preserve">=</m:t>
                </m:r>
                <m:r>
                  <m:t xml:space="preserve">−</m:t>
                </m:r>
                <m:r>
                  <m:t xml:space="preserve">1</m:t>
                </m:r>
              </m:sub>
              <m:sup>
                <m:r>
                  <m:t xml:space="preserve">2</m:t>
                </m:r>
              </m:sup>
              <m:e>
                <m:r>
                  <m:t xml:space="preserve">w</m:t>
                </m:r>
              </m:e>
            </m:nary>
          </m:e>
        </m:nary>
        <m:d>
          <m:dPr>
            <m:begChr m:val="("/>
            <m:endChr m:val=")"/>
          </m:dPr>
          <m:e>
            <m:r>
              <m:t xml:space="preserve">i</m:t>
            </m:r>
            <m:r>
              <m:t xml:space="preserve">,</m:t>
            </m:r>
            <m:r>
              <m:t xml:space="preserve">j</m:t>
            </m:r>
          </m:e>
        </m:d>
        <m:r>
          <m:t xml:space="preserve">⋅</m:t>
        </m:r>
        <m:r>
          <m:t xml:space="preserve">I</m:t>
        </m:r>
        <m:d>
          <m:dPr>
            <m:begChr m:val="("/>
            <m:endChr m:val=")"/>
          </m:dPr>
          <m:e>
            <m:r>
              <m:t xml:space="preserve">x</m:t>
            </m:r>
            <m:r>
              <m:t xml:space="preserve">+</m:t>
            </m:r>
            <m:r>
              <m:t xml:space="preserve">i</m:t>
            </m:r>
            <m:r>
              <m:t xml:space="preserve">,</m:t>
            </m:r>
            <m:r>
              <m:t xml:space="preserve">y</m:t>
            </m:r>
            <m:r>
              <m:t xml:space="preserve">+</m:t>
            </m:r>
            <m:r>
              <m:t xml:space="preserve">j</m:t>
            </m:r>
          </m:e>
        </m:d>
      </m:oMath>
      <w:r>
        <w:rPr/>
        <w:tab/>
      </w:r>
      <w:r>
        <w:rPr/>
        <w:t>(9)</w:t>
      </w:r>
    </w:p>
    <w:p>
      <w:pPr>
        <w:pStyle w:val="FirstParagraph"/>
        <w:rPr/>
      </w:pPr>
      <w:r>
        <w:rPr/>
        <w:t xml:space="preserve">where the weight function </w:t>
      </w:r>
      <w:r>
        <w:rPr/>
      </w:r>
      <m:oMath xmlns:m="http://schemas.openxmlformats.org/officeDocument/2006/math">
        <m:r>
          <m:t xml:space="preserve">w</m:t>
        </m:r>
        <m:d>
          <m:dPr>
            <m:begChr m:val="("/>
            <m:endChr m:val=")"/>
          </m:dPr>
          <m:e>
            <m:r>
              <m:t xml:space="preserve">i</m:t>
            </m:r>
            <m:r>
              <m:t xml:space="preserve">,</m:t>
            </m:r>
            <m:r>
              <m:t xml:space="preserve">j</m:t>
            </m:r>
          </m:e>
        </m:d>
      </m:oMath>
      <w:r>
        <w:rPr/>
        <w:t xml:space="preserve"> is constructed from the product of two one-dimensional cubic kernels:</w:t>
      </w:r>
    </w:p>
    <w:p>
      <w:pPr>
        <w:pStyle w:val="TextBody"/>
        <w:jc w:val="center"/>
        <w:rPr/>
      </w:pPr>
      <w:r>
        <w:rPr/>
      </w:r>
      <m:oMath xmlns:m="http://schemas.openxmlformats.org/officeDocument/2006/math">
        <m:r>
          <m:t xml:space="preserve">w</m:t>
        </m:r>
        <m:d>
          <m:dPr>
            <m:begChr m:val="("/>
            <m:endChr m:val=")"/>
          </m:dPr>
          <m:e>
            <m:r>
              <m:t xml:space="preserve">i</m:t>
            </m:r>
            <m:r>
              <m:t xml:space="preserve">,</m:t>
            </m:r>
            <m:r>
              <m:t xml:space="preserve">j</m:t>
            </m:r>
          </m:e>
        </m:d>
        <m:r>
          <m:t xml:space="preserve">=</m:t>
        </m:r>
        <m:r>
          <m:t xml:space="preserve">K</m:t>
        </m:r>
        <m:d>
          <m:dPr>
            <m:begChr m:val="("/>
            <m:endChr m:val=")"/>
          </m:dPr>
          <m:e>
            <m:sSub>
              <m:e>
                <m:r>
                  <m:t xml:space="preserve">d</m:t>
                </m:r>
              </m:e>
              <m:sub>
                <m:r>
                  <m:t xml:space="preserve">x</m:t>
                </m:r>
              </m:sub>
            </m:sSub>
            <m:r>
              <m:t xml:space="preserve">−</m:t>
            </m:r>
            <m:r>
              <m:t xml:space="preserve">i</m:t>
            </m:r>
          </m:e>
        </m:d>
        <m:r>
          <m:t xml:space="preserve">⋅</m:t>
        </m:r>
        <m:r>
          <m:t xml:space="preserve">K</m:t>
        </m:r>
        <m:d>
          <m:dPr>
            <m:begChr m:val="("/>
            <m:endChr m:val=")"/>
          </m:dPr>
          <m:e>
            <m:sSub>
              <m:e>
                <m:r>
                  <m:t xml:space="preserve">d</m:t>
                </m:r>
              </m:e>
              <m:sub>
                <m:r>
                  <m:t xml:space="preserve">y</m:t>
                </m:r>
              </m:sub>
            </m:sSub>
            <m:r>
              <m:t xml:space="preserve">−</m:t>
            </m:r>
            <m:r>
              <m:t xml:space="preserve">j</m:t>
            </m:r>
          </m:e>
        </m:d>
      </m:oMath>
      <w:r>
        <w:rPr/>
        <w:tab/>
      </w:r>
      <w:r>
        <w:rPr/>
        <w:t>(10)</w:t>
      </w:r>
    </w:p>
    <w:p>
      <w:pPr>
        <w:pStyle w:val="FirstParagraph"/>
        <w:rPr/>
      </w:pPr>
      <w:r>
        <w:rPr/>
        <w:t xml:space="preserve">with </w:t>
      </w:r>
      <w:r>
        <w:rPr/>
      </w:r>
      <m:oMath xmlns:m="http://schemas.openxmlformats.org/officeDocument/2006/math">
        <m:sSub>
          <m:e>
            <m:r>
              <m:t xml:space="preserve">d</m:t>
            </m:r>
          </m:e>
          <m:sub>
            <m:r>
              <m:t xml:space="preserve">x</m:t>
            </m:r>
          </m:sub>
        </m:sSub>
        <m:r>
          <m:t xml:space="preserve">=</m:t>
        </m:r>
        <m:r>
          <m:t xml:space="preserve">x</m:t>
        </m:r>
        <m:r>
          <m:t xml:space="preserve">−</m:t>
        </m:r>
        <m:r>
          <m:t xml:space="preserve">⌊</m:t>
        </m:r>
        <m:r>
          <m:t xml:space="preserve">x</m:t>
        </m:r>
        <m:r>
          <m:t xml:space="preserve">⌋</m:t>
        </m:r>
      </m:oMath>
      <w:r>
        <w:rPr/>
        <w:t xml:space="preserve">, </w:t>
      </w:r>
      <w:r>
        <w:rPr/>
      </w:r>
      <m:oMath xmlns:m="http://schemas.openxmlformats.org/officeDocument/2006/math">
        <m:sSub>
          <m:e>
            <m:r>
              <m:t xml:space="preserve">d</m:t>
            </m:r>
          </m:e>
          <m:sub>
            <m:r>
              <m:t xml:space="preserve">y</m:t>
            </m:r>
          </m:sub>
        </m:sSub>
        <m:r>
          <m:t xml:space="preserve">=</m:t>
        </m:r>
        <m:r>
          <m:t xml:space="preserve">y</m:t>
        </m:r>
        <m:r>
          <m:t xml:space="preserve">−</m:t>
        </m:r>
        <m:r>
          <m:t xml:space="preserve">⌊</m:t>
        </m:r>
        <m:r>
          <m:t xml:space="preserve">y</m:t>
        </m:r>
        <m:r>
          <m:t xml:space="preserve">⌋</m:t>
        </m:r>
      </m:oMath>
      <w:r>
        <w:rPr/>
        <w:t xml:space="preserve"> being the fractional offsets, and the cubic kernel </w:t>
      </w:r>
      <w:r>
        <w:rPr/>
      </w:r>
      <m:oMath xmlns:m="http://schemas.openxmlformats.org/officeDocument/2006/math">
        <m:r>
          <m:t xml:space="preserve">K</m:t>
        </m:r>
        <m:d>
          <m:dPr>
            <m:begChr m:val="("/>
            <m:endChr m:val=")"/>
          </m:dPr>
          <m:e>
            <m:r>
              <m:t xml:space="preserve">t</m:t>
            </m:r>
          </m:e>
        </m:d>
      </m:oMath>
      <w:r>
        <w:rPr/>
        <w:t xml:space="preserve"> defined as:</w:t>
      </w:r>
    </w:p>
    <w:p>
      <w:pPr>
        <w:pStyle w:val="TextBody"/>
        <w:jc w:val="center"/>
        <w:rPr/>
      </w:pPr>
      <w:r>
        <w:rPr/>
      </w:r>
      <m:oMath xmlns:m="http://schemas.openxmlformats.org/officeDocument/2006/math">
        <m:r>
          <m:t xml:space="preserve">K</m:t>
        </m:r>
        <m:d>
          <m:dPr>
            <m:begChr m:val="("/>
            <m:endChr m:val=")"/>
          </m:dPr>
          <m:e>
            <m:r>
              <m:t xml:space="preserve">t</m:t>
            </m:r>
          </m:e>
        </m:d>
        <m:r>
          <m:t xml:space="preserve">=</m:t>
        </m:r>
        <m:d>
          <m:dPr>
            <m:begChr m:val="{"/>
            <m:endChr m:val=")"/>
          </m:dPr>
          <m:e>
            <m:m>
              <m:mr>
                <m:e>
                  <m:d>
                    <m:dPr>
                      <m:begChr m:val="("/>
                      <m:endChr m:val=")"/>
                    </m:dPr>
                    <m:e>
                      <m:r>
                        <m:t xml:space="preserve">a</m:t>
                      </m:r>
                      <m:r>
                        <m:t xml:space="preserve">+</m:t>
                      </m:r>
                      <m:r>
                        <m:t xml:space="preserve">2</m:t>
                      </m:r>
                    </m:e>
                  </m:d>
                  <m:sSup>
                    <m:e>
                      <m:d>
                        <m:dPr>
                          <m:begChr m:val="|"/>
                          <m:endChr m:val=")"/>
                        </m:dPr>
                        <m:e>
                          <m:r>
                            <m:t xml:space="preserve">t</m:t>
                          </m:r>
                        </m:e>
                      </m:d>
                    </m:e>
                    <m:sup>
                      <m:r>
                        <m:t xml:space="preserve">3</m:t>
                      </m:r>
                    </m:sup>
                  </m:sSup>
                  <m:r>
                    <m:t xml:space="preserve">−</m:t>
                  </m:r>
                  <m:d>
                    <m:dPr>
                      <m:begChr m:val="("/>
                      <m:endChr m:val=")"/>
                    </m:dPr>
                    <m:e>
                      <m:r>
                        <m:t xml:space="preserve">a</m:t>
                      </m:r>
                      <m:r>
                        <m:t xml:space="preserve">+</m:t>
                      </m:r>
                      <m:r>
                        <m:t xml:space="preserve">3</m:t>
                      </m:r>
                    </m:e>
                  </m:d>
                  <m:sSup>
                    <m:e>
                      <m:d>
                        <m:dPr>
                          <m:begChr m:val="|"/>
                          <m:endChr m:val=")"/>
                        </m:dPr>
                        <m:e>
                          <m:r>
                            <m:t xml:space="preserve">t</m:t>
                          </m:r>
                        </m:e>
                      </m:d>
                    </m:e>
                    <m:sup>
                      <m:r>
                        <m:t xml:space="preserve">2</m:t>
                      </m:r>
                    </m:sup>
                  </m:sSup>
                  <m:r>
                    <m:t xml:space="preserve">+</m:t>
                  </m:r>
                  <m:r>
                    <m:t xml:space="preserve">1</m:t>
                  </m:r>
                  <m:r>
                    <m:t xml:space="preserve">,</m:t>
                  </m:r>
                </m:e>
                <m:e>
                  <m:d>
                    <m:dPr>
                      <m:begChr m:val="|"/>
                      <m:endChr m:val=")"/>
                    </m:dPr>
                    <m:e>
                      <m:r>
                        <m:t xml:space="preserve">t</m:t>
                      </m:r>
                    </m:e>
                  </m:d>
                  <m:r>
                    <m:t xml:space="preserve">≤</m:t>
                  </m:r>
                  <m:r>
                    <m:t xml:space="preserve">1</m:t>
                  </m:r>
                </m:e>
              </m:mr>
              <m:mr>
                <m:e>
                  <m:r>
                    <m:t xml:space="preserve">a</m:t>
                  </m:r>
                  <m:sSup>
                    <m:e>
                      <m:d>
                        <m:dPr>
                          <m:begChr m:val="|"/>
                          <m:endChr m:val=")"/>
                        </m:dPr>
                        <m:e>
                          <m:r>
                            <m:t xml:space="preserve">t</m:t>
                          </m:r>
                        </m:e>
                      </m:d>
                    </m:e>
                    <m:sup>
                      <m:r>
                        <m:t xml:space="preserve">3</m:t>
                      </m:r>
                    </m:sup>
                  </m:sSup>
                  <m:r>
                    <m:t xml:space="preserve">−</m:t>
                  </m:r>
                  <m:r>
                    <m:t xml:space="preserve">5</m:t>
                  </m:r>
                  <m:r>
                    <m:t xml:space="preserve">a</m:t>
                  </m:r>
                  <m:sSup>
                    <m:e>
                      <m:d>
                        <m:dPr>
                          <m:begChr m:val="|"/>
                          <m:endChr m:val=")"/>
                        </m:dPr>
                        <m:e>
                          <m:r>
                            <m:t xml:space="preserve">t</m:t>
                          </m:r>
                        </m:e>
                      </m:d>
                    </m:e>
                    <m:sup>
                      <m:r>
                        <m:t xml:space="preserve">2</m:t>
                      </m:r>
                    </m:sup>
                  </m:sSup>
                  <m:r>
                    <m:t xml:space="preserve">+</m:t>
                  </m:r>
                  <m:r>
                    <m:t xml:space="preserve">8</m:t>
                  </m:r>
                  <m:r>
                    <m:t xml:space="preserve">a</m:t>
                  </m:r>
                  <m:d>
                    <m:dPr>
                      <m:begChr m:val="|"/>
                      <m:endChr m:val=")"/>
                    </m:dPr>
                    <m:e>
                      <m:r>
                        <m:t xml:space="preserve">t</m:t>
                      </m:r>
                    </m:e>
                  </m:d>
                  <m:r>
                    <m:t xml:space="preserve">−</m:t>
                  </m:r>
                  <m:r>
                    <m:t xml:space="preserve">4</m:t>
                  </m:r>
                  <m:r>
                    <m:t xml:space="preserve">a</m:t>
                  </m:r>
                  <m:r>
                    <m:t xml:space="preserve">,</m:t>
                  </m:r>
                </m:e>
                <m:e>
                  <m:r>
                    <m:t xml:space="preserve">1</m:t>
                  </m:r>
                  <m:r>
                    <m:t xml:space="preserve">&lt;</m:t>
                  </m:r>
                  <m:d>
                    <m:dPr>
                      <m:begChr m:val="|"/>
                      <m:endChr m:val=")"/>
                    </m:dPr>
                    <m:e>
                      <m:r>
                        <m:t xml:space="preserve">t</m:t>
                      </m:r>
                    </m:e>
                  </m:d>
                  <m:r>
                    <m:t xml:space="preserve">≤</m:t>
                  </m:r>
                  <m:r>
                    <m:t xml:space="preserve">2</m:t>
                  </m:r>
                </m:e>
              </m:mr>
              <m:mr>
                <m:e>
                  <m:r>
                    <m:t xml:space="preserve">0</m:t>
                  </m:r>
                  <m:r>
                    <m:t xml:space="preserve">,</m:t>
                  </m:r>
                </m:e>
                <m:e>
                  <m:r>
                    <m:rPr>
                      <m:lit/>
                      <m:nor/>
                    </m:rPr>
                    <m:t xml:space="preserve">otherwise</m:t>
                  </m:r>
                </m:e>
              </m:mr>
            </m:m>
          </m:e>
        </m:d>
      </m:oMath>
      <w:r>
        <w:rPr/>
        <w:tab/>
      </w:r>
      <w:r>
        <w:rPr/>
        <w:t>(11)</w:t>
      </w:r>
    </w:p>
    <w:p>
      <w:pPr>
        <w:pStyle w:val="FirstParagraph"/>
        <w:rPr/>
      </w:pPr>
      <w:r>
        <w:rPr/>
        <w:t xml:space="preserve">where the parameter </w:t>
      </w:r>
      <w:r>
        <w:rPr/>
      </w:r>
      <m:oMath xmlns:m="http://schemas.openxmlformats.org/officeDocument/2006/math">
        <m:r>
          <m:t xml:space="preserve">a</m:t>
        </m:r>
      </m:oMath>
      <w:r>
        <w:rPr/>
        <w:t xml:space="preserve"> is typically set to </w:t>
      </w:r>
      <w:r>
        <w:rPr/>
      </w:r>
      <m:oMath xmlns:m="http://schemas.openxmlformats.org/officeDocument/2006/math">
        <m:r>
          <m:t xml:space="preserve">a</m:t>
        </m:r>
        <m:r>
          <m:t xml:space="preserve">=</m:t>
        </m:r>
        <m:r>
          <m:t xml:space="preserve">−</m:t>
        </m:r>
        <m:r>
          <m:t xml:space="preserve">0.5</m:t>
        </m:r>
      </m:oMath>
      <w:r>
        <w:rPr/>
        <w:t>, yielding the Catmull–Rom spline which provides the best balance between sharpness and smoothness for spectrogram images.</w:t>
      </w:r>
    </w:p>
    <w:p>
      <w:pPr>
        <w:pStyle w:val="TextBody"/>
        <w:rPr/>
      </w:pPr>
      <w:r>
        <w:rPr/>
        <w:t>Fig. </w:t>
      </w:r>
      <w:hyperlink w:anchor="fig3">
        <w:r>
          <w:rPr>
            <w:rStyle w:val="InternetLink"/>
          </w:rPr>
          <w:t>4</w:t>
        </w:r>
      </w:hyperlink>
      <w:r>
        <w:rPr/>
        <w:t xml:space="preserve"> compares the fused Mel-GADF image before and after gamma correction. In the uncorrected image (Fig. </w:t>
      </w:r>
      <w:hyperlink w:anchor="fig3">
        <w:r>
          <w:rPr>
            <w:rStyle w:val="InternetLink"/>
          </w:rPr>
          <w:t>4</w:t>
        </w:r>
      </w:hyperlink>
      <w:r>
        <w:rPr/>
        <w:t xml:space="preserve">(a)), low-frequency regions appear dark and texturally indistinct due to the large dynamic range of spectral amplitudes. After applying gamma correction with </w:t>
      </w:r>
      <w:r>
        <w:rPr/>
      </w:r>
      <m:oMath xmlns:m="http://schemas.openxmlformats.org/officeDocument/2006/math">
        <m:r>
          <m:t xml:space="preserve">γ</m:t>
        </m:r>
        <m:r>
          <m:t xml:space="preserve">=</m:t>
        </m:r>
        <m:r>
          <m:t xml:space="preserve">1.7</m:t>
        </m:r>
      </m:oMath>
      <w:r>
        <w:rPr/>
        <w:t xml:space="preserve"> (Fig. </w:t>
      </w:r>
      <w:hyperlink w:anchor="fig3">
        <w:r>
          <w:rPr>
            <w:rStyle w:val="InternetLink"/>
          </w:rPr>
          <w:t>4</w:t>
        </w:r>
      </w:hyperlink>
      <w:r>
        <w:rPr/>
        <w:t>(b)), the contrast in these regions is significantly enhanced, revealing detailed structural patterns that facilitate the network’s ability to learn subtle fault-related features.</w:t>
      </w:r>
    </w:p>
    <w:tbl>
      <w:tblPr>
        <w:tblW w:w="5000" w:type="pct"/>
        <w:jc w:val="start"/>
        <w:tblInd w:w="55" w:type="dxa"/>
        <w:tblLayout w:type="fixed"/>
        <w:tblCellMar>
          <w:top w:w="55" w:type="dxa"/>
          <w:start w:w="55" w:type="dxa"/>
          <w:bottom w:w="55" w:type="dxa"/>
          <w:end w:w="55" w:type="dxa"/>
        </w:tblCellMar>
      </w:tblPr>
      <w:tblGrid>
        <w:gridCol w:w="4680"/>
        <w:gridCol w:w="4680"/>
      </w:tblGrid>
      <w:tr>
        <w:trPr/>
        <w:tc>
          <w:tcPr>
            <w:tcW w:w="4680" w:type="dxa"/>
            <w:tcBorders/>
          </w:tcPr>
          <w:p>
            <w:pPr>
              <w:pStyle w:val="TableContents"/>
              <w:rPr/>
            </w:pPr>
            <w:r>
              <w:rPr/>
              <w:drawing>
                <wp:anchor behindDoc="0" distT="0" distB="0" distL="0" distR="0" simplePos="0" locked="0" layoutInCell="0" allowOverlap="1" relativeHeight="463">
                  <wp:simplePos x="0" y="0"/>
                  <wp:positionH relativeFrom="column">
                    <wp:align>center</wp:align>
                  </wp:positionH>
                  <wp:positionV relativeFrom="paragraph">
                    <wp:posOffset>635</wp:posOffset>
                  </wp:positionV>
                  <wp:extent cx="2133600" cy="213360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2133600" cy="2133600"/>
                          </a:xfrm>
                          <a:prstGeom prst="rect">
                            <a:avLst/>
                          </a:prstGeom>
                        </pic:spPr>
                      </pic:pic>
                    </a:graphicData>
                  </a:graphic>
                </wp:anchor>
              </w:drawing>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ImageCaption"/>
              <w:widowControl w:val="false"/>
              <w:spacing w:before="0" w:after="120"/>
              <w:jc w:val="center"/>
              <w:rPr/>
            </w:pPr>
            <w:r>
              <w:rPr/>
              <w:t>(a)</w:t>
            </w:r>
          </w:p>
        </w:tc>
        <w:tc>
          <w:tcPr>
            <w:tcW w:w="4680" w:type="dxa"/>
            <w:tcBorders/>
          </w:tcPr>
          <w:p>
            <w:pPr>
              <w:pStyle w:val="TableContents"/>
              <w:rPr/>
            </w:pPr>
            <w:r>
              <w:rPr/>
              <w:drawing>
                <wp:anchor behindDoc="0" distT="0" distB="0" distL="0" distR="0" simplePos="0" locked="0" layoutInCell="0" allowOverlap="1" relativeHeight="465">
                  <wp:simplePos x="0" y="0"/>
                  <wp:positionH relativeFrom="column">
                    <wp:align>center</wp:align>
                  </wp:positionH>
                  <wp:positionV relativeFrom="paragraph">
                    <wp:posOffset>635</wp:posOffset>
                  </wp:positionV>
                  <wp:extent cx="2133600" cy="2133600"/>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2133600" cy="2133600"/>
                          </a:xfrm>
                          <a:prstGeom prst="rect">
                            <a:avLst/>
                          </a:prstGeom>
                        </pic:spPr>
                      </pic:pic>
                    </a:graphicData>
                  </a:graphic>
                </wp:anchor>
              </w:drawing>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ImageCaption"/>
              <w:widowControl w:val="false"/>
              <w:spacing w:before="0" w:after="120"/>
              <w:jc w:val="center"/>
              <w:rPr/>
            </w:pPr>
            <w:r>
              <w:rPr/>
              <w:t>(b)</w:t>
            </w:r>
          </w:p>
        </w:tc>
      </w:tr>
    </w:tbl>
    <w:p>
      <w:pPr>
        <w:pStyle w:val="TextBody"/>
        <w:rPr/>
      </w:pPr>
      <w:r>
        <w:rPr/>
      </w:r>
    </w:p>
    <w:p>
      <w:pPr>
        <w:pStyle w:val="TextBody"/>
        <w:rPr/>
      </w:pPr>
      <w:r>
        <w:rPr/>
      </w:r>
    </w:p>
    <w:p>
      <w:pPr>
        <w:pStyle w:val="ImageCaption"/>
        <w:rPr/>
      </w:pPr>
      <w:r>
        <w:rPr/>
        <w:t>Fig. </w:t>
      </w:r>
      <w:hyperlink w:anchor="fig3">
        <w:r>
          <w:rPr>
            <w:rStyle w:val="InternetLink"/>
          </w:rPr>
          <w:t>4</w:t>
        </w:r>
      </w:hyperlink>
      <w:r>
        <w:rPr/>
        <w:t xml:space="preserve"> Comparison of the fused Mel-GADF image (a) before and (b) after gamma correction with </w:t>
      </w:r>
      <w:r>
        <w:rPr/>
      </w:r>
      <m:oMath xmlns:m="http://schemas.openxmlformats.org/officeDocument/2006/math">
        <m:r>
          <m:t xml:space="preserve">γ</m:t>
        </m:r>
        <m:r>
          <m:t xml:space="preserve">=</m:t>
        </m:r>
        <m:r>
          <m:t xml:space="preserve">1.7</m:t>
        </m:r>
      </m:oMath>
      <w:r>
        <w:rPr/>
        <w:t>. The corrected image exhibits enhanced contrast in low-energy regions while preserving high-energy structural details.</w:t>
      </w:r>
      <w:bookmarkEnd w:id="8"/>
    </w:p>
    <w:p>
      <w:pPr>
        <w:pStyle w:val="Heading2"/>
        <w:rPr/>
      </w:pPr>
      <w:bookmarkStart w:id="9" w:name="multi-condition-fused-representations"/>
      <w:r>
        <w:rPr/>
        <w:t>Multi-Condition Fused Representations</w:t>
      </w:r>
    </w:p>
    <w:p>
      <w:pPr>
        <w:pStyle w:val="FirstParagraph"/>
        <w:rPr/>
      </w:pPr>
      <w:r>
        <w:rPr/>
        <w:t>Fig. </w:t>
      </w:r>
      <w:hyperlink w:anchor="fig4">
        <w:r>
          <w:rPr>
            <w:rStyle w:val="InternetLink"/>
          </w:rPr>
          <w:t>5</w:t>
        </w:r>
      </w:hyperlink>
      <w:r>
        <w:rPr/>
        <w:t xml:space="preserve"> presents the three-channel fused representations for five transformer operating conditions: normal (N0), harmonic distortion (N1), DC-bias (N2), mechanical looseness (N3), and partial discharge (N4). For each condition, the top row shows the Mel-GASF variant, the middle row shows the Mel-GADF variant, and the bottom row shows the Mel spectrogram alone. The fusion of Mel spectrogram and GAF encodings yields visually richer and more discriminative representations compared to single-modality images, as each fault type induces distinct patterns in both the spectral energy distribution (R channel) and the temporal correlation structure (G channel), with their divergence captured in the difference channel (B channel).</w:t>
      </w:r>
    </w:p>
    <w:p>
      <w:pPr>
        <w:pStyle w:val="TextBody"/>
        <w:rPr/>
      </w:pPr>
      <w:r>
        <w:rPr/>
      </w:r>
    </w:p>
    <w:tbl>
      <w:tblPr>
        <w:tblW w:w="5000" w:type="pct"/>
        <w:jc w:val="start"/>
        <w:tblInd w:w="55" w:type="dxa"/>
        <w:tblLayout w:type="fixed"/>
        <w:tblCellMar>
          <w:top w:w="55" w:type="dxa"/>
          <w:start w:w="55" w:type="dxa"/>
          <w:bottom w:w="55" w:type="dxa"/>
          <w:end w:w="55" w:type="dxa"/>
        </w:tblCellMar>
      </w:tblPr>
      <w:tblGrid>
        <w:gridCol w:w="1872"/>
        <w:gridCol w:w="1872"/>
        <w:gridCol w:w="1872"/>
        <w:gridCol w:w="1872"/>
        <w:gridCol w:w="1872"/>
      </w:tblGrid>
      <w:tr>
        <w:trPr/>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66">
                  <wp:simplePos x="0" y="0"/>
                  <wp:positionH relativeFrom="column">
                    <wp:align>center</wp:align>
                  </wp:positionH>
                  <wp:positionV relativeFrom="paragraph">
                    <wp:posOffset>635</wp:posOffset>
                  </wp:positionV>
                  <wp:extent cx="1118870" cy="1118870"/>
                  <wp:effectExtent l="0" t="0" r="0" b="0"/>
                  <wp:wrapSquare wrapText="largest"/>
                  <wp:docPr id="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title=""/>
                          <pic:cNvPicPr>
                            <a:picLocks noChangeAspect="1" noChangeArrowheads="1"/>
                          </pic:cNvPicPr>
                        </pic:nvPicPr>
                        <pic:blipFill>
                          <a:blip r:embed="rId9"/>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64">
                  <wp:simplePos x="0" y="0"/>
                  <wp:positionH relativeFrom="column">
                    <wp:align>center</wp:align>
                  </wp:positionH>
                  <wp:positionV relativeFrom="paragraph">
                    <wp:posOffset>635</wp:posOffset>
                  </wp:positionV>
                  <wp:extent cx="1118870" cy="1118870"/>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62">
                  <wp:simplePos x="0" y="0"/>
                  <wp:positionH relativeFrom="column">
                    <wp:align>center</wp:align>
                  </wp:positionH>
                  <wp:positionV relativeFrom="paragraph">
                    <wp:posOffset>635</wp:posOffset>
                  </wp:positionV>
                  <wp:extent cx="1118870" cy="1118870"/>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60">
                  <wp:simplePos x="0" y="0"/>
                  <wp:positionH relativeFrom="column">
                    <wp:align>center</wp:align>
                  </wp:positionH>
                  <wp:positionV relativeFrom="paragraph">
                    <wp:posOffset>635</wp:posOffset>
                  </wp:positionV>
                  <wp:extent cx="1118870" cy="1118870"/>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58">
                  <wp:simplePos x="0" y="0"/>
                  <wp:positionH relativeFrom="column">
                    <wp:align>center</wp:align>
                  </wp:positionH>
                  <wp:positionV relativeFrom="paragraph">
                    <wp:posOffset>635</wp:posOffset>
                  </wp:positionV>
                  <wp:extent cx="1118870" cy="111887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1118870" cy="1118870"/>
                          </a:xfrm>
                          <a:prstGeom prst="rect">
                            <a:avLst/>
                          </a:prstGeom>
                        </pic:spPr>
                      </pic:pic>
                    </a:graphicData>
                  </a:graphic>
                </wp:anchor>
              </w:drawing>
            </w:r>
          </w:p>
        </w:tc>
      </w:tr>
      <w:tr>
        <w:trPr/>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56">
                  <wp:simplePos x="0" y="0"/>
                  <wp:positionH relativeFrom="column">
                    <wp:align>center</wp:align>
                  </wp:positionH>
                  <wp:positionV relativeFrom="paragraph">
                    <wp:posOffset>635</wp:posOffset>
                  </wp:positionV>
                  <wp:extent cx="1118870" cy="111887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54">
                  <wp:simplePos x="0" y="0"/>
                  <wp:positionH relativeFrom="column">
                    <wp:align>center</wp:align>
                  </wp:positionH>
                  <wp:positionV relativeFrom="paragraph">
                    <wp:posOffset>635</wp:posOffset>
                  </wp:positionV>
                  <wp:extent cx="1118870" cy="1118870"/>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52">
                  <wp:simplePos x="0" y="0"/>
                  <wp:positionH relativeFrom="column">
                    <wp:align>center</wp:align>
                  </wp:positionH>
                  <wp:positionV relativeFrom="paragraph">
                    <wp:posOffset>635</wp:posOffset>
                  </wp:positionV>
                  <wp:extent cx="1118870" cy="1118870"/>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50">
                  <wp:simplePos x="0" y="0"/>
                  <wp:positionH relativeFrom="column">
                    <wp:align>center</wp:align>
                  </wp:positionH>
                  <wp:positionV relativeFrom="paragraph">
                    <wp:posOffset>635</wp:posOffset>
                  </wp:positionV>
                  <wp:extent cx="1118870" cy="1118870"/>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tretch>
                            <a:fillRect/>
                          </a:stretch>
                        </pic:blipFill>
                        <pic:spPr bwMode="auto">
                          <a:xfrm>
                            <a:off x="0" y="0"/>
                            <a:ext cx="1118870" cy="1118870"/>
                          </a:xfrm>
                          <a:prstGeom prst="rect">
                            <a:avLst/>
                          </a:prstGeom>
                        </pic:spPr>
                      </pic:pic>
                    </a:graphicData>
                  </a:graphic>
                </wp:anchor>
              </w:drawing>
            </w:r>
          </w:p>
        </w:tc>
        <w:tc>
          <w:tcPr>
            <w:tcW w:w="1872" w:type="dxa"/>
            <w:tcBorders/>
          </w:tcPr>
          <w:p>
            <w:pPr>
              <w:pStyle w:val="TableContents"/>
              <w:widowControl w:val="false"/>
              <w:suppressLineNumbers/>
              <w:spacing w:before="0" w:after="200"/>
              <w:rPr/>
            </w:pPr>
            <w:r>
              <w:rPr/>
              <w:drawing>
                <wp:anchor behindDoc="0" distT="0" distB="0" distL="0" distR="0" simplePos="0" locked="0" layoutInCell="0" allowOverlap="1" relativeHeight="448">
                  <wp:simplePos x="0" y="0"/>
                  <wp:positionH relativeFrom="column">
                    <wp:align>center</wp:align>
                  </wp:positionH>
                  <wp:positionV relativeFrom="paragraph">
                    <wp:posOffset>635</wp:posOffset>
                  </wp:positionV>
                  <wp:extent cx="1118870" cy="1118870"/>
                  <wp:effectExtent l="0" t="0" r="0" b="0"/>
                  <wp:wrapSquare wrapText="largest"/>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8"/>
                          <a:stretch>
                            <a:fillRect/>
                          </a:stretch>
                        </pic:blipFill>
                        <pic:spPr bwMode="auto">
                          <a:xfrm>
                            <a:off x="0" y="0"/>
                            <a:ext cx="1118870" cy="1118870"/>
                          </a:xfrm>
                          <a:prstGeom prst="rect">
                            <a:avLst/>
                          </a:prstGeom>
                        </pic:spPr>
                      </pic:pic>
                    </a:graphicData>
                  </a:graphic>
                </wp:anchor>
              </w:drawing>
            </w:r>
          </w:p>
        </w:tc>
      </w:tr>
      <w:tr>
        <w:trPr/>
        <w:tc>
          <w:tcPr>
            <w:tcW w:w="1872" w:type="dxa"/>
            <w:tcBorders/>
          </w:tcPr>
          <w:p>
            <w:pPr>
              <w:pStyle w:val="ImageCaption"/>
              <w:widowControl w:val="false"/>
              <w:spacing w:before="0" w:after="120"/>
              <w:jc w:val="center"/>
              <w:rPr/>
            </w:pPr>
            <w:r>
              <w:drawing>
                <wp:anchor behindDoc="0" distT="0" distB="0" distL="0" distR="0" simplePos="0" locked="0" layoutInCell="0" allowOverlap="1" relativeHeight="446">
                  <wp:simplePos x="0" y="0"/>
                  <wp:positionH relativeFrom="column">
                    <wp:align>center</wp:align>
                  </wp:positionH>
                  <wp:positionV relativeFrom="paragraph">
                    <wp:posOffset>635</wp:posOffset>
                  </wp:positionV>
                  <wp:extent cx="1118870" cy="1118870"/>
                  <wp:effectExtent l="0" t="0" r="0" b="0"/>
                  <wp:wrapSquare wrapText="largest"/>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9"/>
                          <a:stretch>
                            <a:fillRect/>
                          </a:stretch>
                        </pic:blipFill>
                        <pic:spPr bwMode="auto">
                          <a:xfrm>
                            <a:off x="0" y="0"/>
                            <a:ext cx="1118870" cy="1118870"/>
                          </a:xfrm>
                          <a:prstGeom prst="rect">
                            <a:avLst/>
                          </a:prstGeom>
                        </pic:spPr>
                      </pic:pic>
                    </a:graphicData>
                  </a:graphic>
                </wp:anchor>
              </w:drawing>
            </w:r>
            <w:r>
              <w:rPr/>
              <w:t>(a)</w:t>
            </w:r>
          </w:p>
        </w:tc>
        <w:tc>
          <w:tcPr>
            <w:tcW w:w="1872" w:type="dxa"/>
            <w:tcBorders/>
          </w:tcPr>
          <w:p>
            <w:pPr>
              <w:pStyle w:val="ImageCaption"/>
              <w:widowControl w:val="false"/>
              <w:spacing w:before="0" w:after="120"/>
              <w:jc w:val="center"/>
              <w:rPr/>
            </w:pPr>
            <w:r>
              <w:drawing>
                <wp:anchor behindDoc="0" distT="0" distB="0" distL="0" distR="0" simplePos="0" locked="0" layoutInCell="0" allowOverlap="1" relativeHeight="444">
                  <wp:simplePos x="0" y="0"/>
                  <wp:positionH relativeFrom="column">
                    <wp:align>center</wp:align>
                  </wp:positionH>
                  <wp:positionV relativeFrom="paragraph">
                    <wp:posOffset>635</wp:posOffset>
                  </wp:positionV>
                  <wp:extent cx="1118870" cy="1118870"/>
                  <wp:effectExtent l="0" t="0" r="0" b="0"/>
                  <wp:wrapSquare wrapText="largest"/>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20"/>
                          <a:stretch>
                            <a:fillRect/>
                          </a:stretch>
                        </pic:blipFill>
                        <pic:spPr bwMode="auto">
                          <a:xfrm>
                            <a:off x="0" y="0"/>
                            <a:ext cx="1118870" cy="1118870"/>
                          </a:xfrm>
                          <a:prstGeom prst="rect">
                            <a:avLst/>
                          </a:prstGeom>
                        </pic:spPr>
                      </pic:pic>
                    </a:graphicData>
                  </a:graphic>
                </wp:anchor>
              </w:drawing>
            </w:r>
            <w:r>
              <w:rPr/>
              <w:t>(</w:t>
            </w:r>
            <w:r>
              <w:rPr/>
              <w:t>b</w:t>
            </w:r>
            <w:r>
              <w:rPr/>
              <w:t>)</w:t>
            </w:r>
          </w:p>
        </w:tc>
        <w:tc>
          <w:tcPr>
            <w:tcW w:w="1872" w:type="dxa"/>
            <w:tcBorders/>
          </w:tcPr>
          <w:p>
            <w:pPr>
              <w:pStyle w:val="ImageCaption"/>
              <w:widowControl w:val="false"/>
              <w:spacing w:before="0" w:after="120"/>
              <w:jc w:val="center"/>
              <w:rPr/>
            </w:pPr>
            <w:r>
              <w:drawing>
                <wp:anchor behindDoc="0" distT="0" distB="0" distL="0" distR="0" simplePos="0" locked="0" layoutInCell="0" allowOverlap="1" relativeHeight="442">
                  <wp:simplePos x="0" y="0"/>
                  <wp:positionH relativeFrom="column">
                    <wp:align>center</wp:align>
                  </wp:positionH>
                  <wp:positionV relativeFrom="paragraph">
                    <wp:posOffset>635</wp:posOffset>
                  </wp:positionV>
                  <wp:extent cx="1118870" cy="1118870"/>
                  <wp:effectExtent l="0" t="0" r="0" b="0"/>
                  <wp:wrapSquare wrapText="largest"/>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1"/>
                          <a:stretch>
                            <a:fillRect/>
                          </a:stretch>
                        </pic:blipFill>
                        <pic:spPr bwMode="auto">
                          <a:xfrm>
                            <a:off x="0" y="0"/>
                            <a:ext cx="1118870" cy="1118870"/>
                          </a:xfrm>
                          <a:prstGeom prst="rect">
                            <a:avLst/>
                          </a:prstGeom>
                        </pic:spPr>
                      </pic:pic>
                    </a:graphicData>
                  </a:graphic>
                </wp:anchor>
              </w:drawing>
            </w:r>
            <w:r>
              <w:rPr/>
              <w:t>(</w:t>
            </w:r>
            <w:r>
              <w:rPr/>
              <w:t>c</w:t>
            </w:r>
            <w:r>
              <w:rPr/>
              <w:t>)</w:t>
            </w:r>
          </w:p>
        </w:tc>
        <w:tc>
          <w:tcPr>
            <w:tcW w:w="1872" w:type="dxa"/>
            <w:tcBorders/>
          </w:tcPr>
          <w:p>
            <w:pPr>
              <w:pStyle w:val="ImageCaption"/>
              <w:widowControl w:val="false"/>
              <w:spacing w:before="0" w:after="120"/>
              <w:jc w:val="center"/>
              <w:rPr/>
            </w:pPr>
            <w:r>
              <w:drawing>
                <wp:anchor behindDoc="0" distT="0" distB="0" distL="0" distR="0" simplePos="0" locked="0" layoutInCell="0" allowOverlap="1" relativeHeight="440">
                  <wp:simplePos x="0" y="0"/>
                  <wp:positionH relativeFrom="column">
                    <wp:align>center</wp:align>
                  </wp:positionH>
                  <wp:positionV relativeFrom="paragraph">
                    <wp:posOffset>635</wp:posOffset>
                  </wp:positionV>
                  <wp:extent cx="1118870" cy="1118870"/>
                  <wp:effectExtent l="0" t="0" r="0" b="0"/>
                  <wp:wrapSquare wrapText="largest"/>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2"/>
                          <a:stretch>
                            <a:fillRect/>
                          </a:stretch>
                        </pic:blipFill>
                        <pic:spPr bwMode="auto">
                          <a:xfrm>
                            <a:off x="0" y="0"/>
                            <a:ext cx="1118870" cy="1118870"/>
                          </a:xfrm>
                          <a:prstGeom prst="rect">
                            <a:avLst/>
                          </a:prstGeom>
                        </pic:spPr>
                      </pic:pic>
                    </a:graphicData>
                  </a:graphic>
                </wp:anchor>
              </w:drawing>
            </w:r>
            <w:r>
              <w:rPr/>
              <w:t>(</w:t>
            </w:r>
            <w:r>
              <w:rPr/>
              <w:t>d</w:t>
            </w:r>
            <w:r>
              <w:rPr/>
              <w:t>)</w:t>
            </w:r>
          </w:p>
        </w:tc>
        <w:tc>
          <w:tcPr>
            <w:tcW w:w="1872" w:type="dxa"/>
            <w:tcBorders/>
          </w:tcPr>
          <w:p>
            <w:pPr>
              <w:pStyle w:val="ImageCaption"/>
              <w:widowControl w:val="false"/>
              <w:spacing w:before="0" w:after="120"/>
              <w:jc w:val="center"/>
              <w:rPr/>
            </w:pPr>
            <w:r>
              <w:drawing>
                <wp:anchor behindDoc="0" distT="0" distB="0" distL="0" distR="0" simplePos="0" locked="0" layoutInCell="0" allowOverlap="1" relativeHeight="438">
                  <wp:simplePos x="0" y="0"/>
                  <wp:positionH relativeFrom="column">
                    <wp:align>center</wp:align>
                  </wp:positionH>
                  <wp:positionV relativeFrom="paragraph">
                    <wp:posOffset>635</wp:posOffset>
                  </wp:positionV>
                  <wp:extent cx="1118870" cy="1118870"/>
                  <wp:effectExtent l="0" t="0" r="0" b="0"/>
                  <wp:wrapSquare wrapText="largest"/>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3"/>
                          <a:stretch>
                            <a:fillRect/>
                          </a:stretch>
                        </pic:blipFill>
                        <pic:spPr bwMode="auto">
                          <a:xfrm>
                            <a:off x="0" y="0"/>
                            <a:ext cx="1118870" cy="1118870"/>
                          </a:xfrm>
                          <a:prstGeom prst="rect">
                            <a:avLst/>
                          </a:prstGeom>
                        </pic:spPr>
                      </pic:pic>
                    </a:graphicData>
                  </a:graphic>
                </wp:anchor>
              </w:drawing>
            </w:r>
            <w:r>
              <w:rPr/>
              <w:t>(</w:t>
            </w:r>
            <w:r>
              <w:rPr/>
              <w:t>e</w:t>
            </w:r>
            <w:r>
              <w:rPr/>
              <w:t>)</w:t>
            </w:r>
          </w:p>
        </w:tc>
      </w:tr>
    </w:tbl>
    <w:p>
      <w:pPr>
        <w:pStyle w:val="ImageCaption"/>
        <w:rPr/>
      </w:pPr>
      <w:r>
        <w:rPr/>
      </w:r>
    </w:p>
    <w:p>
      <w:pPr>
        <w:pStyle w:val="ImageCaption"/>
        <w:rPr/>
      </w:pPr>
      <w:r>
        <w:rPr/>
        <w:t>Fig. </w:t>
      </w:r>
      <w:hyperlink w:anchor="fig4">
        <w:r>
          <w:rPr>
            <w:rStyle w:val="InternetLink"/>
          </w:rPr>
          <w:t>5</w:t>
        </w:r>
      </w:hyperlink>
      <w:r>
        <w:rPr>
          <w:rStyle w:val="InternetLink"/>
        </w:rPr>
        <w:t xml:space="preserve"> </w:t>
      </w:r>
      <w:r>
        <w:rPr/>
        <w:t>Multi-modal representations across five transformer operating conditions. Top: Mel-GASF fusion; Middle: Mel-GADF fusion (proposed); Bottom: Mel spectrogram alone. Conditions (left to right): (a) Normal, (b) Harmonic distortion, (c) DC-bias, (d) Mechanical looseness, (e) Partial discharge.</w:t>
      </w:r>
      <w:bookmarkEnd w:id="9"/>
    </w:p>
    <w:p>
      <w:pPr>
        <w:pStyle w:val="Heading2"/>
        <w:rPr/>
      </w:pPr>
      <w:bookmarkStart w:id="10" w:name="pcnn-based-feature-enhancement"/>
      <w:r>
        <w:rPr/>
        <w:t>PCNN-Based Feature Enhancement</w:t>
      </w:r>
    </w:p>
    <w:p>
      <w:pPr>
        <w:pStyle w:val="FirstParagraph"/>
        <w:rPr/>
      </w:pPr>
      <w:r>
        <w:rPr/>
        <w:t xml:space="preserve">Pulse-Coupled Neural Networks (PCNNs) are a class of biologically inspired neural models that emulate the synchronized pulse firing behavior observed in the mammalian visual cortex [33, 34]. Unlike conventional CNNs that operate through learned convolutional filters, PCNNs process images through iterative, locally coupled neuronal dynamics characterized by self-excitation and lateral coupling [35]. These properties make PCNNs particularly effective for image enhancement tasks including noise suppression, edge preservation, and feature extraction [36]. </w:t>
      </w:r>
      <w:r>
        <w:rPr/>
        <w:t>Fig. </w:t>
      </w:r>
      <w:r>
        <w:rPr>
          <w:rStyle w:val="InternetLink"/>
        </w:rPr>
        <w:t xml:space="preserve">7 </w:t>
      </w:r>
      <w:r>
        <w:rPr>
          <w:rStyle w:val="InternetLink"/>
          <w:color w:val="auto"/>
        </w:rPr>
        <w:t>presents the structure of  PCNN.</w:t>
      </w:r>
    </w:p>
    <w:p>
      <w:pPr>
        <w:pStyle w:val="TextBody"/>
        <w:rPr/>
      </w:pPr>
      <w:r>
        <w:rPr/>
        <w:t xml:space="preserve">For each pixel location </w:t>
      </w:r>
      <w:r>
        <w:rPr/>
      </w:r>
      <m:oMath xmlns:m="http://schemas.openxmlformats.org/officeDocument/2006/math">
        <m:d>
          <m:dPr>
            <m:begChr m:val="("/>
            <m:endChr m:val=")"/>
          </m:dPr>
          <m:e>
            <m:r>
              <m:t xml:space="preserve">i</m:t>
            </m:r>
            <m:r>
              <m:t xml:space="preserve">,</m:t>
            </m:r>
            <m:r>
              <m:t xml:space="preserve">j</m:t>
            </m:r>
          </m:e>
        </m:d>
      </m:oMath>
      <w:r>
        <w:rPr/>
        <w:t>, the PCNN dynamics are governed by three interacting components:</w:t>
      </w:r>
    </w:p>
    <w:p>
      <w:pPr>
        <w:pStyle w:val="Normal"/>
        <w:numPr>
          <w:ilvl w:val="0"/>
          <w:numId w:val="15"/>
        </w:numPr>
        <w:rPr/>
      </w:pPr>
      <w:r>
        <w:rPr>
          <w:b/>
          <w:bCs/>
        </w:rPr>
        <w:t>Feeding input:</w:t>
      </w:r>
    </w:p>
    <w:p>
      <w:pPr>
        <w:pStyle w:val="TextBody"/>
        <w:jc w:val="center"/>
        <w:rPr/>
      </w:pPr>
      <w:r>
        <w:rPr/>
      </w:r>
      <m:oMath xmlns:m="http://schemas.openxmlformats.org/officeDocument/2006/math">
        <m:sSub>
          <m:e>
            <m:r>
              <m:t xml:space="preserve">F</m:t>
            </m:r>
          </m:e>
          <m:sub>
            <m:r>
              <m:t xml:space="preserve">i</m:t>
            </m:r>
            <m:r>
              <m:t xml:space="preserve">,</m:t>
            </m:r>
            <m:r>
              <m:t xml:space="preserve">j</m:t>
            </m:r>
          </m:sub>
        </m:sSub>
        <m:d>
          <m:dPr>
            <m:begChr m:val="["/>
            <m:endChr m:val=")"/>
          </m:dPr>
          <m:e>
            <m:r>
              <m:t xml:space="preserve">n</m:t>
            </m:r>
          </m:e>
        </m:d>
        <m:r>
          <m:t xml:space="preserve">=</m:t>
        </m:r>
        <m:sSup>
          <m:e>
            <m:r>
              <m:t xml:space="preserve">e</m:t>
            </m:r>
          </m:e>
          <m:sup>
            <m:r>
              <m:t xml:space="preserve">−</m:t>
            </m:r>
            <m:sSub>
              <m:e>
                <m:r>
                  <m:t xml:space="preserve">α</m:t>
                </m:r>
              </m:e>
              <m:sub>
                <m:r>
                  <m:t xml:space="preserve">F</m:t>
                </m:r>
              </m:sub>
            </m:sSub>
          </m:sup>
        </m:sSup>
        <m:sSub>
          <m:e>
            <m:r>
              <m:t xml:space="preserve">F</m:t>
            </m:r>
          </m:e>
          <m:sub>
            <m:r>
              <m:t xml:space="preserve">i</m:t>
            </m:r>
            <m:r>
              <m:t xml:space="preserve">,</m:t>
            </m:r>
            <m:r>
              <m:t xml:space="preserve">j</m:t>
            </m:r>
          </m:sub>
        </m:sSub>
        <m:d>
          <m:dPr>
            <m:begChr m:val="["/>
            <m:endChr m:val=")"/>
          </m:dPr>
          <m:e>
            <m:r>
              <m:t xml:space="preserve">n</m:t>
            </m:r>
            <m:r>
              <m:t xml:space="preserve">−</m:t>
            </m:r>
            <m:r>
              <m:t xml:space="preserve">1</m:t>
            </m:r>
          </m:e>
        </m:d>
        <m:r>
          <m:t xml:space="preserve">+</m:t>
        </m:r>
        <m:sSub>
          <m:e>
            <m:r>
              <m:t xml:space="preserve">V</m:t>
            </m:r>
          </m:e>
          <m:sub>
            <m:r>
              <m:t xml:space="preserve">F</m:t>
            </m:r>
          </m:sub>
        </m:sSub>
        <m:sSub>
          <m:e>
            <m:r>
              <m:t xml:space="preserve">S</m:t>
            </m:r>
          </m:e>
          <m:sub>
            <m:r>
              <m:t xml:space="preserve">i</m:t>
            </m:r>
            <m:r>
              <m:t xml:space="preserve">,</m:t>
            </m:r>
            <m:r>
              <m:t xml:space="preserve">j</m:t>
            </m:r>
          </m:sub>
        </m:sSub>
      </m:oMath>
      <w:r>
        <w:rPr/>
        <w:t xml:space="preserve">  </w:t>
      </w:r>
      <w:r>
        <w:rPr/>
        <w:tab/>
      </w:r>
      <w:r>
        <w:rPr/>
        <w:t>(12)</w:t>
      </w:r>
    </w:p>
    <w:p>
      <w:pPr>
        <w:pStyle w:val="Normal"/>
        <w:numPr>
          <w:ilvl w:val="0"/>
          <w:numId w:val="1"/>
        </w:numPr>
        <w:rPr/>
      </w:pPr>
      <w:r>
        <w:rPr/>
        <w:t xml:space="preserve">where </w:t>
      </w:r>
      <w:r>
        <w:rPr/>
      </w:r>
      <m:oMath xmlns:m="http://schemas.openxmlformats.org/officeDocument/2006/math">
        <m:sSub>
          <m:e>
            <m:r>
              <m:t xml:space="preserve">S</m:t>
            </m:r>
          </m:e>
          <m:sub>
            <m:r>
              <m:t xml:space="preserve">i</m:t>
            </m:r>
            <m:r>
              <m:t xml:space="preserve">,</m:t>
            </m:r>
            <m:r>
              <m:t xml:space="preserve">j</m:t>
            </m:r>
          </m:sub>
        </m:sSub>
      </m:oMath>
      <w:r>
        <w:rPr/>
        <w:t xml:space="preserve"> is the external stimulus (pixel intensity), </w:t>
      </w:r>
      <w:r>
        <w:rPr/>
      </w:r>
      <m:oMath xmlns:m="http://schemas.openxmlformats.org/officeDocument/2006/math">
        <m:sSub>
          <m:e>
            <m:r>
              <m:t xml:space="preserve">α</m:t>
            </m:r>
          </m:e>
          <m:sub>
            <m:r>
              <m:t xml:space="preserve">F</m:t>
            </m:r>
          </m:sub>
        </m:sSub>
      </m:oMath>
      <w:r>
        <w:rPr/>
        <w:t xml:space="preserve"> is the feeding decay constant, </w:t>
      </w:r>
      <w:r>
        <w:rPr/>
      </w:r>
      <m:oMath xmlns:m="http://schemas.openxmlformats.org/officeDocument/2006/math">
        <m:sSub>
          <m:e>
            <m:r>
              <m:t xml:space="preserve">V</m:t>
            </m:r>
          </m:e>
          <m:sub>
            <m:r>
              <m:t xml:space="preserve">F</m:t>
            </m:r>
          </m:sub>
        </m:sSub>
      </m:oMath>
      <w:r>
        <w:rPr/>
        <w:t xml:space="preserve"> is the input gain coefficient, and </w:t>
      </w:r>
      <w:r>
        <w:rPr/>
      </w:r>
      <m:oMath xmlns:m="http://schemas.openxmlformats.org/officeDocument/2006/math">
        <m:r>
          <m:t xml:space="preserve">n</m:t>
        </m:r>
      </m:oMath>
      <w:r>
        <w:rPr/>
        <w:t xml:space="preserve"> indexes the iteration step.</w:t>
      </w:r>
    </w:p>
    <w:p>
      <w:pPr>
        <w:pStyle w:val="Normal"/>
        <w:numPr>
          <w:ilvl w:val="0"/>
          <w:numId w:val="16"/>
        </w:numPr>
        <w:rPr/>
      </w:pPr>
      <w:r>
        <w:rPr>
          <w:b/>
          <w:bCs/>
        </w:rPr>
        <w:t>Linking modulation:</w:t>
      </w:r>
    </w:p>
    <w:p>
      <w:pPr>
        <w:pStyle w:val="TextBody"/>
        <w:jc w:val="center"/>
        <w:rPr/>
      </w:pPr>
      <w:r>
        <w:rPr/>
      </w:r>
      <m:oMath xmlns:m="http://schemas.openxmlformats.org/officeDocument/2006/math">
        <m:sSub>
          <m:e>
            <m:r>
              <m:t xml:space="preserve">L</m:t>
            </m:r>
          </m:e>
          <m:sub>
            <m:r>
              <m:t xml:space="preserve">i</m:t>
            </m:r>
            <m:r>
              <m:t xml:space="preserve">,</m:t>
            </m:r>
            <m:r>
              <m:t xml:space="preserve">j</m:t>
            </m:r>
          </m:sub>
        </m:sSub>
        <m:d>
          <m:dPr>
            <m:begChr m:val="["/>
            <m:endChr m:val=")"/>
          </m:dPr>
          <m:e>
            <m:r>
              <m:t xml:space="preserve">n</m:t>
            </m:r>
          </m:e>
        </m:d>
        <m:r>
          <m:t xml:space="preserve">=</m:t>
        </m:r>
        <m:sSup>
          <m:e>
            <m:r>
              <m:t xml:space="preserve">e</m:t>
            </m:r>
          </m:e>
          <m:sup>
            <m:r>
              <m:t xml:space="preserve">−</m:t>
            </m:r>
            <m:sSub>
              <m:e>
                <m:r>
                  <m:t xml:space="preserve">α</m:t>
                </m:r>
              </m:e>
              <m:sub>
                <m:r>
                  <m:t xml:space="preserve">L</m:t>
                </m:r>
              </m:sub>
            </m:sSub>
          </m:sup>
        </m:sSup>
        <m:sSub>
          <m:e>
            <m:r>
              <m:t xml:space="preserve">L</m:t>
            </m:r>
          </m:e>
          <m:sub>
            <m:r>
              <m:t xml:space="preserve">i</m:t>
            </m:r>
            <m:r>
              <m:t xml:space="preserve">,</m:t>
            </m:r>
            <m:r>
              <m:t xml:space="preserve">j</m:t>
            </m:r>
          </m:sub>
        </m:sSub>
        <m:d>
          <m:dPr>
            <m:begChr m:val="["/>
            <m:endChr m:val=")"/>
          </m:dPr>
          <m:e>
            <m:r>
              <m:t xml:space="preserve">n</m:t>
            </m:r>
            <m:r>
              <m:t xml:space="preserve">−</m:t>
            </m:r>
            <m:r>
              <m:t xml:space="preserve">1</m:t>
            </m:r>
          </m:e>
        </m:d>
        <m:r>
          <m:t xml:space="preserve">+</m:t>
        </m:r>
        <m:sSub>
          <m:e>
            <m:r>
              <m:t xml:space="preserve">V</m:t>
            </m:r>
          </m:e>
          <m:sub>
            <m:r>
              <m:t xml:space="preserve">L</m:t>
            </m:r>
          </m:sub>
        </m:sSub>
        <m:nary>
          <m:naryPr>
            <m:chr m:val="∑"/>
            <m:supHide m:val="1"/>
          </m:naryPr>
          <m:sub>
            <m:d>
              <m:dPr>
                <m:begChr m:val="("/>
                <m:endChr m:val=")"/>
              </m:dPr>
              <m:e>
                <m:r>
                  <m:t xml:space="preserve">k</m:t>
                </m:r>
                <m:r>
                  <m:t xml:space="preserve">,</m:t>
                </m:r>
                <m:r>
                  <m:t xml:space="preserve">l</m:t>
                </m:r>
              </m:e>
            </m:d>
            <m:r>
              <m:t xml:space="preserve">∈</m:t>
            </m:r>
            <m:r>
              <m:t xml:space="preserve">N</m:t>
            </m:r>
            <m:d>
              <m:dPr>
                <m:begChr m:val="("/>
                <m:endChr m:val=")"/>
              </m:dPr>
              <m:e>
                <m:r>
                  <m:t xml:space="preserve">i</m:t>
                </m:r>
                <m:r>
                  <m:t xml:space="preserve">,</m:t>
                </m:r>
                <m:r>
                  <m:t xml:space="preserve">j</m:t>
                </m:r>
              </m:e>
            </m:d>
          </m:sub>
          <m:sup/>
          <m:e>
            <m:sSub>
              <m:e>
                <m:r>
                  <m:t xml:space="preserve">W</m:t>
                </m:r>
              </m:e>
              <m:sub>
                <m:r>
                  <m:t xml:space="preserve">i</m:t>
                </m:r>
                <m:r>
                  <m:t xml:space="preserve">,</m:t>
                </m:r>
                <m:r>
                  <m:t xml:space="preserve">j</m:t>
                </m:r>
                <m:r>
                  <m:t xml:space="preserve">;</m:t>
                </m:r>
                <m:r>
                  <m:t xml:space="preserve">k</m:t>
                </m:r>
                <m:r>
                  <m:t xml:space="preserve">,</m:t>
                </m:r>
                <m:r>
                  <m:t xml:space="preserve">l</m:t>
                </m:r>
              </m:sub>
            </m:sSub>
          </m:e>
        </m:nary>
        <m:sSub>
          <m:e>
            <m:r>
              <m:t xml:space="preserve">Y</m:t>
            </m:r>
          </m:e>
          <m:sub>
            <m:r>
              <m:t xml:space="preserve">k</m:t>
            </m:r>
            <m:r>
              <m:t xml:space="preserve">,</m:t>
            </m:r>
            <m:r>
              <m:t xml:space="preserve">l</m:t>
            </m:r>
          </m:sub>
        </m:sSub>
        <m:d>
          <m:dPr>
            <m:begChr m:val="["/>
            <m:endChr m:val=")"/>
          </m:dPr>
          <m:e>
            <m:r>
              <m:t xml:space="preserve">n</m:t>
            </m:r>
            <m:r>
              <m:t xml:space="preserve">−</m:t>
            </m:r>
            <m:r>
              <m:t xml:space="preserve">1</m:t>
            </m:r>
          </m:e>
        </m:d>
      </m:oMath>
      <w:r>
        <w:rPr/>
        <w:tab/>
      </w:r>
      <w:r>
        <w:rPr/>
        <w:t>(13)</w:t>
      </w:r>
    </w:p>
    <w:p>
      <w:pPr>
        <w:pStyle w:val="Normal"/>
        <w:numPr>
          <w:ilvl w:val="0"/>
          <w:numId w:val="1"/>
        </w:numPr>
        <w:rPr/>
      </w:pPr>
      <w:r>
        <w:rPr/>
        <w:t xml:space="preserve">where </w:t>
      </w:r>
      <w:r>
        <w:rPr/>
      </w:r>
      <m:oMath xmlns:m="http://schemas.openxmlformats.org/officeDocument/2006/math">
        <m:sSub>
          <m:e>
            <m:r>
              <m:t xml:space="preserve">L</m:t>
            </m:r>
          </m:e>
          <m:sub>
            <m:r>
              <m:t xml:space="preserve">i</m:t>
            </m:r>
            <m:r>
              <m:t xml:space="preserve">,</m:t>
            </m:r>
            <m:r>
              <m:t xml:space="preserve">j</m:t>
            </m:r>
          </m:sub>
        </m:sSub>
        <m:d>
          <m:dPr>
            <m:begChr m:val="["/>
            <m:endChr m:val=")"/>
          </m:dPr>
          <m:e>
            <m:r>
              <m:t xml:space="preserve">n</m:t>
            </m:r>
          </m:e>
        </m:d>
      </m:oMath>
      <w:r>
        <w:rPr/>
        <w:t xml:space="preserve"> aggregates the binary pulse outputs </w:t>
      </w:r>
      <w:r>
        <w:rPr/>
      </w:r>
      <m:oMath xmlns:m="http://schemas.openxmlformats.org/officeDocument/2006/math">
        <m:sSub>
          <m:e>
            <m:r>
              <m:t xml:space="preserve">Y</m:t>
            </m:r>
          </m:e>
          <m:sub>
            <m:r>
              <m:t xml:space="preserve">k</m:t>
            </m:r>
            <m:r>
              <m:t xml:space="preserve">,</m:t>
            </m:r>
            <m:r>
              <m:t xml:space="preserve">l</m:t>
            </m:r>
          </m:sub>
        </m:sSub>
      </m:oMath>
      <w:r>
        <w:rPr/>
        <w:t xml:space="preserve"> from neighboring neurons within a local receptive field </w:t>
      </w:r>
      <w:r>
        <w:rPr/>
      </w:r>
      <m:oMath xmlns:m="http://schemas.openxmlformats.org/officeDocument/2006/math">
        <m:r>
          <m:t xml:space="preserve">N</m:t>
        </m:r>
        <m:d>
          <m:dPr>
            <m:begChr m:val="("/>
            <m:endChr m:val=")"/>
          </m:dPr>
          <m:e>
            <m:r>
              <m:t xml:space="preserve">i</m:t>
            </m:r>
            <m:r>
              <m:t xml:space="preserve">,</m:t>
            </m:r>
            <m:r>
              <m:t xml:space="preserve">j</m:t>
            </m:r>
          </m:e>
        </m:d>
      </m:oMath>
      <w:r>
        <w:rPr/>
        <w:t xml:space="preserve">, weighted by a Gaussian coupling kernel </w:t>
      </w:r>
      <w:r>
        <w:rPr/>
      </w:r>
      <m:oMath xmlns:m="http://schemas.openxmlformats.org/officeDocument/2006/math">
        <m:sSub>
          <m:e>
            <m:r>
              <m:t xml:space="preserve">W</m:t>
            </m:r>
          </m:e>
          <m:sub>
            <m:r>
              <m:t xml:space="preserve">i</m:t>
            </m:r>
            <m:r>
              <m:t xml:space="preserve">,</m:t>
            </m:r>
            <m:r>
              <m:t xml:space="preserve">j</m:t>
            </m:r>
            <m:r>
              <m:t xml:space="preserve">;</m:t>
            </m:r>
            <m:r>
              <m:t xml:space="preserve">k</m:t>
            </m:r>
            <m:r>
              <m:t xml:space="preserve">,</m:t>
            </m:r>
            <m:r>
              <m:t xml:space="preserve">l</m:t>
            </m:r>
          </m:sub>
        </m:sSub>
      </m:oMath>
      <w:r>
        <w:rPr/>
        <w:t>.</w:t>
      </w:r>
    </w:p>
    <w:p>
      <w:pPr>
        <w:pStyle w:val="Normal"/>
        <w:numPr>
          <w:ilvl w:val="0"/>
          <w:numId w:val="17"/>
        </w:numPr>
        <w:rPr/>
      </w:pPr>
      <w:r>
        <w:rPr>
          <w:b/>
          <w:bCs/>
        </w:rPr>
        <w:t>Internal activity and pulse generation:</w:t>
      </w:r>
    </w:p>
    <w:p>
      <w:pPr>
        <w:pStyle w:val="TextBody"/>
        <w:jc w:val="center"/>
        <w:rPr/>
      </w:pPr>
      <w:r>
        <w:rPr/>
      </w:r>
      <m:oMath xmlns:m="http://schemas.openxmlformats.org/officeDocument/2006/math">
        <m:sSub>
          <m:e>
            <m:r>
              <m:t xml:space="preserve">U</m:t>
            </m:r>
          </m:e>
          <m:sub>
            <m:r>
              <m:t xml:space="preserve">i</m:t>
            </m:r>
            <m:r>
              <m:t xml:space="preserve">,</m:t>
            </m:r>
            <m:r>
              <m:t xml:space="preserve">j</m:t>
            </m:r>
          </m:sub>
        </m:sSub>
        <m:d>
          <m:dPr>
            <m:begChr m:val="["/>
            <m:endChr m:val=")"/>
          </m:dPr>
          <m:e>
            <m:r>
              <m:t xml:space="preserve">n</m:t>
            </m:r>
          </m:e>
        </m:d>
        <m:r>
          <m:t xml:space="preserve">=</m:t>
        </m:r>
        <m:sSub>
          <m:e>
            <m:r>
              <m:t xml:space="preserve">F</m:t>
            </m:r>
          </m:e>
          <m:sub>
            <m:r>
              <m:t xml:space="preserve">i</m:t>
            </m:r>
            <m:r>
              <m:t xml:space="preserve">,</m:t>
            </m:r>
            <m:r>
              <m:t xml:space="preserve">j</m:t>
            </m:r>
          </m:sub>
        </m:sSub>
        <m:d>
          <m:dPr>
            <m:begChr m:val="["/>
            <m:endChr m:val=")"/>
          </m:dPr>
          <m:e>
            <m:r>
              <m:t xml:space="preserve">n</m:t>
            </m:r>
          </m:e>
        </m:d>
        <m:d>
          <m:dPr>
            <m:begChr m:val="("/>
            <m:endChr m:val=")"/>
          </m:dPr>
          <m:e>
            <m:r>
              <m:t xml:space="preserve">1</m:t>
            </m:r>
            <m:r>
              <m:t xml:space="preserve">+</m:t>
            </m:r>
            <m:r>
              <m:t xml:space="preserve">β</m:t>
            </m:r>
            <m:sSub>
              <m:e>
                <m:r>
                  <m:t xml:space="preserve">L</m:t>
                </m:r>
              </m:e>
              <m:sub>
                <m:r>
                  <m:t xml:space="preserve">i</m:t>
                </m:r>
                <m:r>
                  <m:t xml:space="preserve">,</m:t>
                </m:r>
                <m:r>
                  <m:t xml:space="preserve">j</m:t>
                </m:r>
              </m:sub>
            </m:sSub>
            <m:d>
              <m:dPr>
                <m:begChr m:val="["/>
                <m:endChr m:val=")"/>
              </m:dPr>
              <m:e>
                <m:r>
                  <m:t xml:space="preserve">n</m:t>
                </m:r>
              </m:e>
            </m:d>
          </m:e>
        </m:d>
      </m:oMath>
      <w:r>
        <w:rPr/>
        <w:tab/>
      </w:r>
      <w:r>
        <w:rPr/>
        <w:t>(14)</w:t>
      </w:r>
    </w:p>
    <w:p>
      <w:pPr>
        <w:pStyle w:val="FirstParagraph"/>
        <w:jc w:val="center"/>
        <w:rPr/>
      </w:pPr>
      <w:r>
        <w:rPr/>
      </w:r>
      <m:oMath xmlns:m="http://schemas.openxmlformats.org/officeDocument/2006/math">
        <m:sSub>
          <m:e>
            <m:r>
              <m:t xml:space="preserve">Y</m:t>
            </m:r>
          </m:e>
          <m:sub>
            <m:r>
              <m:t xml:space="preserve">i</m:t>
            </m:r>
            <m:r>
              <m:t xml:space="preserve">,</m:t>
            </m:r>
            <m:r>
              <m:t xml:space="preserve">j</m:t>
            </m:r>
          </m:sub>
        </m:sSub>
        <m:d>
          <m:dPr>
            <m:begChr m:val="["/>
            <m:endChr m:val=")"/>
          </m:dPr>
          <m:e>
            <m:r>
              <m:t xml:space="preserve">n</m:t>
            </m:r>
          </m:e>
        </m:d>
        <m:r>
          <m:t xml:space="preserve">=</m:t>
        </m:r>
        <m:d>
          <m:dPr>
            <m:begChr m:val="{"/>
            <m:endChr m:val=")"/>
          </m:dPr>
          <m:e>
            <m:m>
              <m:mr>
                <m:e>
                  <m:r>
                    <m:t xml:space="preserve">1</m:t>
                  </m:r>
                  <m:r>
                    <m:t xml:space="preserve">,</m:t>
                  </m:r>
                </m:e>
                <m:e>
                  <m:r>
                    <m:rPr>
                      <m:lit/>
                      <m:nor/>
                    </m:rPr>
                    <m:t xml:space="preserve">if</m:t>
                  </m:r>
                  <m:sSub>
                    <m:e>
                      <m:r>
                        <m:t xml:space="preserve">U</m:t>
                      </m:r>
                    </m:e>
                    <m:sub>
                      <m:r>
                        <m:t xml:space="preserve">i</m:t>
                      </m:r>
                      <m:r>
                        <m:t xml:space="preserve">,</m:t>
                      </m:r>
                      <m:r>
                        <m:t xml:space="preserve">j</m:t>
                      </m:r>
                    </m:sub>
                  </m:sSub>
                  <m:d>
                    <m:dPr>
                      <m:begChr m:val="["/>
                      <m:endChr m:val=")"/>
                    </m:dPr>
                    <m:e>
                      <m:r>
                        <m:t xml:space="preserve">n</m:t>
                      </m:r>
                    </m:e>
                  </m:d>
                  <m:r>
                    <m:t xml:space="preserve">&gt;</m:t>
                  </m:r>
                  <m:sSub>
                    <m:e>
                      <m:r>
                        <m:t xml:space="preserve">T</m:t>
                      </m:r>
                    </m:e>
                    <m:sub>
                      <m:r>
                        <m:t xml:space="preserve">i</m:t>
                      </m:r>
                      <m:r>
                        <m:t xml:space="preserve">,</m:t>
                      </m:r>
                      <m:r>
                        <m:t xml:space="preserve">j</m:t>
                      </m:r>
                    </m:sub>
                  </m:sSub>
                  <m:d>
                    <m:dPr>
                      <m:begChr m:val="["/>
                      <m:endChr m:val=")"/>
                    </m:dPr>
                    <m:e>
                      <m:r>
                        <m:t xml:space="preserve">n</m:t>
                      </m:r>
                    </m:e>
                  </m:d>
                </m:e>
              </m:mr>
              <m:mr>
                <m:e>
                  <m:r>
                    <m:t xml:space="preserve">0</m:t>
                  </m:r>
                  <m:r>
                    <m:t xml:space="preserve">,</m:t>
                  </m:r>
                </m:e>
                <m:e>
                  <m:r>
                    <m:rPr>
                      <m:lit/>
                      <m:nor/>
                    </m:rPr>
                    <m:t xml:space="preserve">otherwise</m:t>
                  </m:r>
                </m:e>
              </m:mr>
            </m:m>
          </m:e>
        </m:d>
      </m:oMath>
      <w:r>
        <w:rPr/>
        <w:tab/>
      </w:r>
      <w:r>
        <w:rPr/>
        <w:t>(15)</w:t>
      </w:r>
    </w:p>
    <w:p>
      <w:pPr>
        <w:pStyle w:val="FirstParagraph"/>
        <w:jc w:val="center"/>
        <w:rPr/>
      </w:pPr>
      <w:r>
        <w:rPr/>
      </w:r>
      <m:oMath xmlns:m="http://schemas.openxmlformats.org/officeDocument/2006/math">
        <m:sSub>
          <m:e>
            <m:r>
              <m:t xml:space="preserve">T</m:t>
            </m:r>
          </m:e>
          <m:sub>
            <m:r>
              <m:t xml:space="preserve">i</m:t>
            </m:r>
            <m:r>
              <m:t xml:space="preserve">,</m:t>
            </m:r>
            <m:r>
              <m:t xml:space="preserve">j</m:t>
            </m:r>
          </m:sub>
        </m:sSub>
        <m:d>
          <m:dPr>
            <m:begChr m:val="["/>
            <m:endChr m:val=")"/>
          </m:dPr>
          <m:e>
            <m:r>
              <m:t xml:space="preserve">n</m:t>
            </m:r>
          </m:e>
        </m:d>
        <m:r>
          <m:t xml:space="preserve">=</m:t>
        </m:r>
        <m:sSup>
          <m:e>
            <m:r>
              <m:t xml:space="preserve">e</m:t>
            </m:r>
          </m:e>
          <m:sup>
            <m:r>
              <m:t xml:space="preserve">−</m:t>
            </m:r>
            <m:sSub>
              <m:e>
                <m:r>
                  <m:t xml:space="preserve">α</m:t>
                </m:r>
              </m:e>
              <m:sub>
                <m:r>
                  <m:t xml:space="preserve">T</m:t>
                </m:r>
              </m:sub>
            </m:sSub>
          </m:sup>
        </m:sSup>
        <m:sSub>
          <m:e>
            <m:r>
              <m:t xml:space="preserve">T</m:t>
            </m:r>
          </m:e>
          <m:sub>
            <m:r>
              <m:t xml:space="preserve">i</m:t>
            </m:r>
            <m:r>
              <m:t xml:space="preserve">,</m:t>
            </m:r>
            <m:r>
              <m:t xml:space="preserve">j</m:t>
            </m:r>
          </m:sub>
        </m:sSub>
        <m:d>
          <m:dPr>
            <m:begChr m:val="["/>
            <m:endChr m:val=")"/>
          </m:dPr>
          <m:e>
            <m:r>
              <m:t xml:space="preserve">n</m:t>
            </m:r>
            <m:r>
              <m:t xml:space="preserve">−</m:t>
            </m:r>
            <m:r>
              <m:t xml:space="preserve">1</m:t>
            </m:r>
          </m:e>
        </m:d>
        <m:r>
          <m:t xml:space="preserve">+</m:t>
        </m:r>
        <m:sSub>
          <m:e>
            <m:r>
              <m:t xml:space="preserve">V</m:t>
            </m:r>
          </m:e>
          <m:sub>
            <m:r>
              <m:t xml:space="preserve">T</m:t>
            </m:r>
          </m:sub>
        </m:sSub>
        <m:sSub>
          <m:e>
            <m:r>
              <m:t xml:space="preserve">Y</m:t>
            </m:r>
          </m:e>
          <m:sub>
            <m:r>
              <m:t xml:space="preserve">i</m:t>
            </m:r>
            <m:r>
              <m:t xml:space="preserve">,</m:t>
            </m:r>
            <m:r>
              <m:t xml:space="preserve">j</m:t>
            </m:r>
          </m:sub>
        </m:sSub>
        <m:d>
          <m:dPr>
            <m:begChr m:val="["/>
            <m:endChr m:val=")"/>
          </m:dPr>
          <m:e>
            <m:r>
              <m:t xml:space="preserve">n</m:t>
            </m:r>
          </m:e>
        </m:d>
      </m:oMath>
      <w:r>
        <w:rPr/>
        <w:tab/>
      </w:r>
      <w:r>
        <w:rPr/>
        <w:t>(16)</w:t>
      </w:r>
    </w:p>
    <w:p>
      <w:pPr>
        <w:pStyle w:val="Normal"/>
        <w:numPr>
          <w:ilvl w:val="0"/>
          <w:numId w:val="1"/>
        </w:numPr>
        <w:rPr/>
      </w:pPr>
      <w:r>
        <w:rPr/>
        <w:t xml:space="preserve">where </w:t>
      </w:r>
      <w:r>
        <w:rPr/>
      </w:r>
      <m:oMath xmlns:m="http://schemas.openxmlformats.org/officeDocument/2006/math">
        <m:sSub>
          <m:e>
            <m:r>
              <m:t xml:space="preserve">U</m:t>
            </m:r>
          </m:e>
          <m:sub>
            <m:r>
              <m:t xml:space="preserve">i</m:t>
            </m:r>
            <m:r>
              <m:t xml:space="preserve">,</m:t>
            </m:r>
            <m:r>
              <m:t xml:space="preserve">j</m:t>
            </m:r>
          </m:sub>
        </m:sSub>
        <m:d>
          <m:dPr>
            <m:begChr m:val="["/>
            <m:endChr m:val=")"/>
          </m:dPr>
          <m:e>
            <m:r>
              <m:t xml:space="preserve">n</m:t>
            </m:r>
          </m:e>
        </m:d>
      </m:oMath>
      <w:r>
        <w:rPr/>
        <w:t xml:space="preserve"> is the total internal excitation combining feeding and linking inputs, </w:t>
      </w:r>
      <w:r>
        <w:rPr/>
      </w:r>
      <m:oMath xmlns:m="http://schemas.openxmlformats.org/officeDocument/2006/math">
        <m:sSub>
          <m:e>
            <m:r>
              <m:t xml:space="preserve">Y</m:t>
            </m:r>
          </m:e>
          <m:sub>
            <m:r>
              <m:t xml:space="preserve">i</m:t>
            </m:r>
            <m:r>
              <m:t xml:space="preserve">,</m:t>
            </m:r>
            <m:r>
              <m:t xml:space="preserve">j</m:t>
            </m:r>
          </m:sub>
        </m:sSub>
        <m:d>
          <m:dPr>
            <m:begChr m:val="["/>
            <m:endChr m:val=")"/>
          </m:dPr>
          <m:e>
            <m:r>
              <m:t xml:space="preserve">n</m:t>
            </m:r>
          </m:e>
        </m:d>
      </m:oMath>
      <w:r>
        <w:rPr/>
        <w:t xml:space="preserve"> is the binary pulse output, </w:t>
      </w:r>
      <w:r>
        <w:rPr/>
      </w:r>
      <m:oMath xmlns:m="http://schemas.openxmlformats.org/officeDocument/2006/math">
        <m:sSub>
          <m:e>
            <m:r>
              <m:t xml:space="preserve">T</m:t>
            </m:r>
          </m:e>
          <m:sub>
            <m:r>
              <m:t xml:space="preserve">i</m:t>
            </m:r>
            <m:r>
              <m:t xml:space="preserve">,</m:t>
            </m:r>
            <m:r>
              <m:t xml:space="preserve">j</m:t>
            </m:r>
          </m:sub>
        </m:sSub>
        <m:d>
          <m:dPr>
            <m:begChr m:val="["/>
            <m:endChr m:val=")"/>
          </m:dPr>
          <m:e>
            <m:r>
              <m:t xml:space="preserve">n</m:t>
            </m:r>
          </m:e>
        </m:d>
      </m:oMath>
      <w:r>
        <w:rPr/>
        <w:t xml:space="preserve"> is the dynamic firing threshold, and </w:t>
      </w:r>
      <w:r>
        <w:rPr/>
      </w:r>
      <m:oMath xmlns:m="http://schemas.openxmlformats.org/officeDocument/2006/math">
        <m:r>
          <m:t xml:space="preserve">β</m:t>
        </m:r>
      </m:oMath>
      <w:r>
        <w:rPr/>
        <w:t xml:space="preserve"> controls the linking strength.</w:t>
      </w:r>
    </w:p>
    <w:p>
      <w:pPr>
        <w:pStyle w:val="FirstParagraph"/>
        <w:rPr/>
      </w:pPr>
      <w:r>
        <w:rPr/>
        <w:t>The key insight for applying PCNNs to spectrogram enhancement is that the synchronized firing mechanism naturally suppresses isolated, low-magnitude noise pixels (which fail to reach the firing threshold) while amplifying spatially coherent structures such as harmonic lines and fault-induced spectral ridges (which receive strong lateral excitation from neighboring neurons). Fig. </w:t>
      </w:r>
      <w:hyperlink w:anchor="fig5">
        <w:r>
          <w:rPr>
            <w:rStyle w:val="InternetLink"/>
          </w:rPr>
          <w:t>6</w:t>
        </w:r>
      </w:hyperlink>
      <w:r>
        <w:rPr/>
        <w:t xml:space="preserve"> illustrates the effect of varying the initial threshold </w:t>
      </w:r>
      <w:r>
        <w:rPr/>
      </w:r>
      <m:oMath xmlns:m="http://schemas.openxmlformats.org/officeDocument/2006/math">
        <m:sSub>
          <m:e>
            <m:r>
              <m:t xml:space="preserve">V</m:t>
            </m:r>
          </m:e>
          <m:sub>
            <m:r>
              <m:t xml:space="preserve">T</m:t>
            </m:r>
          </m:sub>
        </m:sSub>
      </m:oMath>
      <w:r>
        <w:rPr/>
        <w:t xml:space="preserve"> on the PCNN-enhanced Mel-GADF image. As </w:t>
      </w:r>
      <w:r>
        <w:rPr/>
      </w:r>
      <m:oMath xmlns:m="http://schemas.openxmlformats.org/officeDocument/2006/math">
        <m:sSub>
          <m:e>
            <m:r>
              <m:t xml:space="preserve">V</m:t>
            </m:r>
          </m:e>
          <m:sub>
            <m:r>
              <m:t xml:space="preserve">T</m:t>
            </m:r>
          </m:sub>
        </m:sSub>
      </m:oMath>
      <w:r>
        <w:rPr/>
        <w:t xml:space="preserve"> increases, background noise is progressively suppressed. At </w:t>
      </w:r>
      <w:r>
        <w:rPr/>
      </w:r>
      <m:oMath xmlns:m="http://schemas.openxmlformats.org/officeDocument/2006/math">
        <m:sSub>
          <m:e>
            <m:r>
              <m:t xml:space="preserve">V</m:t>
            </m:r>
          </m:e>
          <m:sub>
            <m:r>
              <m:t xml:space="preserve">T</m:t>
            </m:r>
          </m:sub>
        </m:sSub>
        <m:r>
          <m:t xml:space="preserve">=</m:t>
        </m:r>
        <m:r>
          <m:t xml:space="preserve">0.8</m:t>
        </m:r>
      </m:oMath>
      <w:r>
        <w:rPr/>
        <w:t xml:space="preserve">, a favorable balance is achieved where discriminative fault features are preserved while unstructured noise is effectively attenuated. At </w:t>
      </w:r>
      <w:r>
        <w:rPr/>
      </w:r>
      <m:oMath xmlns:m="http://schemas.openxmlformats.org/officeDocument/2006/math">
        <m:sSub>
          <m:e>
            <m:r>
              <m:t xml:space="preserve">V</m:t>
            </m:r>
          </m:e>
          <m:sub>
            <m:r>
              <m:t xml:space="preserve">T</m:t>
            </m:r>
          </m:sub>
        </m:sSub>
        <m:r>
          <m:t xml:space="preserve">≥</m:t>
        </m:r>
        <m:r>
          <m:t xml:space="preserve">1.0</m:t>
        </m:r>
      </m:oMath>
      <w:r>
        <w:rPr/>
        <w:t xml:space="preserve">, neuronal firing is nearly fully inhibited, resulting in a blank output. The threshold </w:t>
      </w:r>
      <w:r>
        <w:rPr/>
      </w:r>
      <m:oMath xmlns:m="http://schemas.openxmlformats.org/officeDocument/2006/math">
        <m:sSub>
          <m:e>
            <m:r>
              <m:t xml:space="preserve">V</m:t>
            </m:r>
          </m:e>
          <m:sub>
            <m:r>
              <m:t xml:space="preserve">T</m:t>
            </m:r>
          </m:sub>
        </m:sSub>
        <m:r>
          <m:t xml:space="preserve">=</m:t>
        </m:r>
        <m:r>
          <m:t xml:space="preserve">0.8</m:t>
        </m:r>
      </m:oMath>
      <w:r>
        <w:rPr/>
        <w:t xml:space="preserve"> and iteration count </w:t>
      </w:r>
      <w:r>
        <w:rPr/>
      </w:r>
      <m:oMath xmlns:m="http://schemas.openxmlformats.org/officeDocument/2006/math">
        <m:r>
          <m:t xml:space="preserve">N</m:t>
        </m:r>
        <m:r>
          <m:t xml:space="preserve">=</m:t>
        </m:r>
        <m:r>
          <m:t xml:space="preserve">10</m:t>
        </m:r>
      </m:oMath>
      <w:r>
        <w:rPr/>
        <w:t xml:space="preserve"> are selected based on systematic parameter analysis (see Section 5.4).</w:t>
      </w:r>
    </w:p>
    <w:tbl>
      <w:tblPr>
        <w:tblW w:w="5000" w:type="pct"/>
        <w:jc w:val="start"/>
        <w:tblInd w:w="55" w:type="dxa"/>
        <w:tblLayout w:type="fixed"/>
        <w:tblCellMar>
          <w:top w:w="55" w:type="dxa"/>
          <w:start w:w="55" w:type="dxa"/>
          <w:bottom w:w="55" w:type="dxa"/>
          <w:end w:w="55" w:type="dxa"/>
        </w:tblCellMar>
      </w:tblPr>
      <w:tblGrid>
        <w:gridCol w:w="2340"/>
        <w:gridCol w:w="2340"/>
        <w:gridCol w:w="2340"/>
        <w:gridCol w:w="2340"/>
      </w:tblGrid>
      <w:tr>
        <w:trPr/>
        <w:tc>
          <w:tcPr>
            <w:tcW w:w="2340" w:type="dxa"/>
            <w:tcBorders/>
          </w:tcPr>
          <w:p>
            <w:pPr>
              <w:pStyle w:val="ImageCaption"/>
              <w:widowControl w:val="false"/>
              <w:spacing w:before="0" w:after="120"/>
              <w:jc w:val="center"/>
              <w:rPr/>
            </w:pPr>
            <w:r>
              <w:drawing>
                <wp:anchor behindDoc="0" distT="0" distB="0" distL="0" distR="0" simplePos="0" locked="0" layoutInCell="0" allowOverlap="1" relativeHeight="447">
                  <wp:simplePos x="0" y="0"/>
                  <wp:positionH relativeFrom="column">
                    <wp:align>center</wp:align>
                  </wp:positionH>
                  <wp:positionV relativeFrom="paragraph">
                    <wp:posOffset>635</wp:posOffset>
                  </wp:positionV>
                  <wp:extent cx="1416050" cy="1416050"/>
                  <wp:effectExtent l="0" t="0" r="0" b="0"/>
                  <wp:wrapSquare wrapText="largest"/>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1416050" cy="1416050"/>
                          </a:xfrm>
                          <a:prstGeom prst="rect">
                            <a:avLst/>
                          </a:prstGeom>
                        </pic:spPr>
                      </pic:pic>
                    </a:graphicData>
                  </a:graphic>
                </wp:anchor>
              </w:drawing>
            </w:r>
            <w:r>
              <w:rPr/>
              <w:t>(a)</w:t>
            </w:r>
          </w:p>
        </w:tc>
        <w:tc>
          <w:tcPr>
            <w:tcW w:w="2340" w:type="dxa"/>
            <w:tcBorders/>
          </w:tcPr>
          <w:p>
            <w:pPr>
              <w:pStyle w:val="ImageCaption"/>
              <w:widowControl w:val="false"/>
              <w:spacing w:before="0" w:after="120"/>
              <w:jc w:val="center"/>
              <w:rPr/>
            </w:pPr>
            <w:r>
              <w:drawing>
                <wp:anchor behindDoc="0" distT="0" distB="0" distL="0" distR="0" simplePos="0" locked="0" layoutInCell="0" allowOverlap="1" relativeHeight="449">
                  <wp:simplePos x="0" y="0"/>
                  <wp:positionH relativeFrom="column">
                    <wp:align>center</wp:align>
                  </wp:positionH>
                  <wp:positionV relativeFrom="paragraph">
                    <wp:posOffset>635</wp:posOffset>
                  </wp:positionV>
                  <wp:extent cx="1416050" cy="1416050"/>
                  <wp:effectExtent l="0" t="0" r="0" b="0"/>
                  <wp:wrapSquare wrapText="largest"/>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1416050" cy="1416050"/>
                          </a:xfrm>
                          <a:prstGeom prst="rect">
                            <a:avLst/>
                          </a:prstGeom>
                        </pic:spPr>
                      </pic:pic>
                    </a:graphicData>
                  </a:graphic>
                </wp:anchor>
              </w:drawing>
            </w:r>
            <w:r>
              <w:rPr/>
              <w:t>(</w:t>
            </w:r>
            <w:r>
              <w:rPr/>
              <w:t>b</w:t>
            </w:r>
            <w:r>
              <w:rPr/>
              <w:t>)</w:t>
            </w:r>
          </w:p>
        </w:tc>
        <w:tc>
          <w:tcPr>
            <w:tcW w:w="2340" w:type="dxa"/>
            <w:tcBorders/>
          </w:tcPr>
          <w:p>
            <w:pPr>
              <w:pStyle w:val="ImageCaption"/>
              <w:widowControl w:val="false"/>
              <w:spacing w:before="0" w:after="120"/>
              <w:jc w:val="center"/>
              <w:rPr/>
            </w:pPr>
            <w:r>
              <w:drawing>
                <wp:anchor behindDoc="0" distT="0" distB="0" distL="0" distR="0" simplePos="0" locked="0" layoutInCell="0" allowOverlap="1" relativeHeight="451">
                  <wp:simplePos x="0" y="0"/>
                  <wp:positionH relativeFrom="column">
                    <wp:align>center</wp:align>
                  </wp:positionH>
                  <wp:positionV relativeFrom="paragraph">
                    <wp:posOffset>635</wp:posOffset>
                  </wp:positionV>
                  <wp:extent cx="1416050" cy="1416050"/>
                  <wp:effectExtent l="0" t="0" r="0" b="0"/>
                  <wp:wrapSquare wrapText="largest"/>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1416050" cy="1416050"/>
                          </a:xfrm>
                          <a:prstGeom prst="rect">
                            <a:avLst/>
                          </a:prstGeom>
                        </pic:spPr>
                      </pic:pic>
                    </a:graphicData>
                  </a:graphic>
                </wp:anchor>
              </w:drawing>
            </w:r>
            <w:r>
              <w:rPr/>
              <w:t>(</w:t>
            </w:r>
            <w:r>
              <w:rPr/>
              <w:t>c</w:t>
            </w:r>
            <w:r>
              <w:rPr/>
              <w:t>)</w:t>
            </w:r>
          </w:p>
        </w:tc>
        <w:tc>
          <w:tcPr>
            <w:tcW w:w="2340" w:type="dxa"/>
            <w:tcBorders/>
          </w:tcPr>
          <w:p>
            <w:pPr>
              <w:pStyle w:val="ImageCaption"/>
              <w:widowControl w:val="false"/>
              <w:spacing w:before="0" w:after="120"/>
              <w:jc w:val="center"/>
              <w:rPr/>
            </w:pPr>
            <w:r>
              <w:drawing>
                <wp:anchor behindDoc="0" distT="0" distB="0" distL="0" distR="0" simplePos="0" locked="0" layoutInCell="0" allowOverlap="1" relativeHeight="453">
                  <wp:simplePos x="0" y="0"/>
                  <wp:positionH relativeFrom="column">
                    <wp:align>center</wp:align>
                  </wp:positionH>
                  <wp:positionV relativeFrom="paragraph">
                    <wp:posOffset>635</wp:posOffset>
                  </wp:positionV>
                  <wp:extent cx="1416050" cy="1416050"/>
                  <wp:effectExtent l="0" t="0" r="0" b="0"/>
                  <wp:wrapSquare wrapText="largest"/>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tretch>
                            <a:fillRect/>
                          </a:stretch>
                        </pic:blipFill>
                        <pic:spPr bwMode="auto">
                          <a:xfrm>
                            <a:off x="0" y="0"/>
                            <a:ext cx="1416050" cy="1416050"/>
                          </a:xfrm>
                          <a:prstGeom prst="rect">
                            <a:avLst/>
                          </a:prstGeom>
                        </pic:spPr>
                      </pic:pic>
                    </a:graphicData>
                  </a:graphic>
                </wp:anchor>
              </w:drawing>
            </w:r>
            <w:r>
              <w:rPr/>
              <w:t>(</w:t>
            </w:r>
            <w:r>
              <w:rPr/>
              <w:t>d</w:t>
            </w:r>
            <w:r>
              <w:rPr/>
              <w:t>)</w:t>
            </w:r>
          </w:p>
        </w:tc>
      </w:tr>
    </w:tbl>
    <w:p>
      <w:pPr>
        <w:pStyle w:val="ImageCaption"/>
        <w:rPr/>
      </w:pPr>
      <w:r>
        <w:rPr/>
        <w:t>Fig. </w:t>
      </w:r>
      <w:hyperlink w:anchor="fig5">
        <w:r>
          <w:rPr>
            <w:rStyle w:val="InternetLink"/>
          </w:rPr>
          <w:t>6</w:t>
        </w:r>
      </w:hyperlink>
      <w:r>
        <w:rPr>
          <w:rStyle w:val="InternetLink"/>
        </w:rPr>
        <w:t xml:space="preserve"> </w:t>
      </w:r>
      <w:r>
        <w:rPr/>
        <w:t xml:space="preserve">Effect of PCNN processing with different initial thresholds </w:t>
      </w:r>
      <w:r>
        <w:rPr/>
      </w:r>
      <m:oMath xmlns:m="http://schemas.openxmlformats.org/officeDocument/2006/math">
        <m:sSub>
          <m:e>
            <m:r>
              <m:t xml:space="preserve">V</m:t>
            </m:r>
          </m:e>
          <m:sub>
            <m:r>
              <m:t xml:space="preserve">T</m:t>
            </m:r>
          </m:sub>
        </m:sSub>
      </m:oMath>
      <w:r>
        <w:rPr/>
        <w:t xml:space="preserve"> on the Mel-GADF image: (a) Original (no PCNN), (b) </w:t>
      </w:r>
      <w:r>
        <w:rPr/>
      </w:r>
      <m:oMath xmlns:m="http://schemas.openxmlformats.org/officeDocument/2006/math">
        <m:sSub>
          <m:e>
            <m:r>
              <m:t xml:space="preserve">V</m:t>
            </m:r>
          </m:e>
          <m:sub>
            <m:r>
              <m:t xml:space="preserve">T</m:t>
            </m:r>
          </m:sub>
        </m:sSub>
        <m:r>
          <m:t xml:space="preserve">=</m:t>
        </m:r>
        <m:r>
          <m:t xml:space="preserve">0.4</m:t>
        </m:r>
      </m:oMath>
      <w:r>
        <w:rPr/>
        <w:t xml:space="preserve">, (c) </w:t>
      </w:r>
      <w:r>
        <w:rPr/>
      </w:r>
      <m:oMath xmlns:m="http://schemas.openxmlformats.org/officeDocument/2006/math">
        <m:sSub>
          <m:e>
            <m:r>
              <m:t xml:space="preserve">V</m:t>
            </m:r>
          </m:e>
          <m:sub>
            <m:r>
              <m:t xml:space="preserve">T</m:t>
            </m:r>
          </m:sub>
        </m:sSub>
        <m:r>
          <m:t xml:space="preserve">=</m:t>
        </m:r>
        <m:r>
          <m:t xml:space="preserve">0.6</m:t>
        </m:r>
      </m:oMath>
      <w:r>
        <w:rPr/>
        <w:t xml:space="preserve">, (d) </w:t>
      </w:r>
      <w:r>
        <w:rPr/>
      </w:r>
      <m:oMath xmlns:m="http://schemas.openxmlformats.org/officeDocument/2006/math">
        <m:sSub>
          <m:e>
            <m:r>
              <m:t xml:space="preserve">V</m:t>
            </m:r>
          </m:e>
          <m:sub>
            <m:r>
              <m:t xml:space="preserve">T</m:t>
            </m:r>
          </m:sub>
        </m:sSub>
        <m:r>
          <m:t xml:space="preserve">=</m:t>
        </m:r>
        <m:r>
          <m:t xml:space="preserve">0.8</m:t>
        </m:r>
      </m:oMath>
      <w:r>
        <w:rPr/>
        <w:t>. Higher thresholds yield stronger noise suppression while preserving edge structures.</w:t>
      </w:r>
      <w:bookmarkEnd w:id="4"/>
      <w:bookmarkEnd w:id="10"/>
    </w:p>
    <w:tbl>
      <w:tblPr>
        <w:tblW w:w="5000" w:type="pct"/>
        <w:jc w:val="start"/>
        <w:tblInd w:w="55" w:type="dxa"/>
        <w:tblLayout w:type="fixed"/>
        <w:tblCellMar>
          <w:top w:w="55" w:type="dxa"/>
          <w:start w:w="55" w:type="dxa"/>
          <w:bottom w:w="55" w:type="dxa"/>
          <w:end w:w="55" w:type="dxa"/>
        </w:tblCellMar>
      </w:tblPr>
      <w:tblGrid>
        <w:gridCol w:w="9360"/>
      </w:tblGrid>
      <w:tr>
        <w:trPr/>
        <w:tc>
          <w:tcPr>
            <w:tcW w:w="9360" w:type="dxa"/>
            <w:tcBorders/>
          </w:tcPr>
          <w:p>
            <w:pPr>
              <w:pStyle w:val="TableContents"/>
              <w:spacing w:before="0" w:after="200"/>
              <w:rPr/>
            </w:pPr>
            <w:r>
              <w:rPr/>
              <w:drawing>
                <wp:inline distT="0" distB="0" distL="0" distR="0">
                  <wp:extent cx="5334000" cy="3499485"/>
                  <wp:effectExtent l="0" t="0" r="0" b="0"/>
                  <wp:docPr id="27"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0" descr="" title=""/>
                          <pic:cNvPicPr>
                            <a:picLocks noChangeAspect="1" noChangeArrowheads="1"/>
                          </pic:cNvPicPr>
                        </pic:nvPicPr>
                        <pic:blipFill>
                          <a:blip r:embed="rId28"/>
                          <a:stretch>
                            <a:fillRect/>
                          </a:stretch>
                        </pic:blipFill>
                        <pic:spPr bwMode="auto">
                          <a:xfrm>
                            <a:off x="0" y="0"/>
                            <a:ext cx="5334000" cy="3499485"/>
                          </a:xfrm>
                          <a:prstGeom prst="rect">
                            <a:avLst/>
                          </a:prstGeom>
                        </pic:spPr>
                      </pic:pic>
                    </a:graphicData>
                  </a:graphic>
                </wp:inline>
              </w:drawing>
            </w:r>
          </w:p>
        </w:tc>
      </w:tr>
    </w:tbl>
    <w:p>
      <w:pPr>
        <w:pStyle w:val="CaptionedFigure"/>
        <w:rPr/>
      </w:pPr>
      <w:r>
        <w:rPr/>
      </w:r>
    </w:p>
    <w:p>
      <w:pPr>
        <w:pStyle w:val="ImageCaption"/>
        <w:rPr/>
      </w:pPr>
      <w:r>
        <w:rPr/>
        <w:t>Fig. </w:t>
      </w:r>
      <w:hyperlink w:anchor="fig5">
        <w:r>
          <w:rPr>
            <w:rStyle w:val="InternetLink"/>
          </w:rPr>
          <w:t>7</w:t>
        </w:r>
      </w:hyperlink>
      <w:r>
        <w:rPr>
          <w:rStyle w:val="InternetLink"/>
        </w:rPr>
        <w:t xml:space="preserve"> </w:t>
      </w:r>
      <w:r>
        <w:rPr/>
        <w:t xml:space="preserve">Architecture of the proposed physics-informed representation learning framework. The physical field </w:t>
      </w:r>
      <w:r>
        <w:rPr/>
      </w:r>
      <m:oMath xmlns:m="http://schemas.openxmlformats.org/officeDocument/2006/math">
        <m:r>
          <m:t xml:space="preserve">Φ</m:t>
        </m:r>
      </m:oMath>
      <w:r>
        <w:rPr/>
        <w:t xml:space="preserve"> is generated from the final feature maps via a </w:t>
      </w:r>
      <w:r>
        <w:rPr/>
      </w:r>
      <m:oMath xmlns:m="http://schemas.openxmlformats.org/officeDocument/2006/math">
        <m:r>
          <m:t xml:space="preserve">1</m:t>
        </m:r>
        <m:r>
          <m:t xml:space="preserve">×</m:t>
        </m:r>
        <m:r>
          <m:t xml:space="preserve">1</m:t>
        </m:r>
      </m:oMath>
      <w:r>
        <w:rPr/>
        <w:t xml:space="preserve"> convolution, and the Laplacian regularization </w:t>
      </w:r>
      <w:r>
        <w:rPr/>
      </w:r>
      <m:oMath xmlns:m="http://schemas.openxmlformats.org/officeDocument/2006/math">
        <m:sSub>
          <m:e>
            <m:r>
              <m:t xml:space="preserve">L</m:t>
            </m:r>
          </m:e>
          <m:sub>
            <m:r>
              <m:rPr>
                <m:lit/>
                <m:nor/>
              </m:rPr>
              <m:t xml:space="preserve">phys</m:t>
            </m:r>
          </m:sub>
        </m:sSub>
      </m:oMath>
      <w:r>
        <w:rPr/>
        <w:t xml:space="preserve"> encourages spatial smoothness. The pooled physical features are fed back to the classifier, enabling physics-aware decision-making.</w:t>
      </w:r>
    </w:p>
    <w:p>
      <w:pPr>
        <w:pStyle w:val="Heading1"/>
        <w:rPr/>
      </w:pPr>
      <w:bookmarkStart w:id="11" w:name="X42a107a47620116b4c59e04a8f9fffe8c5a0d9f"/>
      <w:r>
        <w:rPr/>
        <w:t>Physics-Informed Representation Learning for Fault Diagnosis</w:t>
      </w:r>
    </w:p>
    <w:p>
      <w:pPr>
        <w:pStyle w:val="Heading2"/>
        <w:rPr/>
      </w:pPr>
      <w:bookmarkStart w:id="12" w:name="X1453ccb6bd8deaf4a1348146607ddf1a6518dc3"/>
      <w:r>
        <w:rPr/>
        <w:t>Physical Motivation: Acoustic Wave Propagation in Transformer Tanks</w:t>
      </w:r>
    </w:p>
    <w:p>
      <w:pPr>
        <w:pStyle w:val="FirstParagraph"/>
        <w:rPr/>
      </w:pPr>
      <w:r>
        <w:rPr/>
        <w:t>The core innovation of the proposed PINN framework lies in the physically grounded choice of the regularization functional. We establish the connection between the Laplacian operator and transformer acoustics through the physics of sound wave propagation.</w:t>
      </w:r>
    </w:p>
    <w:p>
      <w:pPr>
        <w:pStyle w:val="TextBody"/>
        <w:rPr/>
      </w:pPr>
      <w:r>
        <w:rPr/>
        <w:t xml:space="preserve">The acoustic pressure field </w:t>
      </w:r>
      <w:r>
        <w:rPr/>
      </w:r>
      <m:oMath xmlns:m="http://schemas.openxmlformats.org/officeDocument/2006/math">
        <m:r>
          <m:t xml:space="preserve">p</m:t>
        </m:r>
        <m:d>
          <m:dPr>
            <m:begChr m:val="("/>
            <m:endChr m:val=")"/>
          </m:dPr>
          <m:e>
            <m:r>
              <m:t xml:space="preserve">x</m:t>
            </m:r>
            <m:r>
              <m:t xml:space="preserve">,</m:t>
            </m:r>
            <m:r>
              <m:t xml:space="preserve">t</m:t>
            </m:r>
          </m:e>
        </m:d>
      </m:oMath>
      <w:r>
        <w:rPr/>
        <w:t xml:space="preserve"> within the transformer tank, generated by mechanical vibrations of the core and windings, is governed by the linear wave equation:</w:t>
      </w:r>
    </w:p>
    <w:p>
      <w:pPr>
        <w:pStyle w:val="TextBody"/>
        <w:jc w:val="center"/>
        <w:rPr/>
      </w:pPr>
      <w:r>
        <w:rPr/>
      </w:r>
      <m:oMath xmlns:m="http://schemas.openxmlformats.org/officeDocument/2006/math">
        <m:f>
          <m:num>
            <m:sSup>
              <m:e>
                <m:r>
                  <m:t xml:space="preserve">∂</m:t>
                </m:r>
              </m:e>
              <m:sup>
                <m:r>
                  <m:t xml:space="preserve">2</m:t>
                </m:r>
              </m:sup>
            </m:sSup>
            <m:r>
              <m:t xml:space="preserve">p</m:t>
            </m:r>
            <m:d>
              <m:dPr>
                <m:begChr m:val="("/>
                <m:endChr m:val=")"/>
              </m:dPr>
              <m:e>
                <m:r>
                  <m:t xml:space="preserve">x</m:t>
                </m:r>
                <m:r>
                  <m:t xml:space="preserve">,</m:t>
                </m:r>
                <m:r>
                  <m:t xml:space="preserve">t</m:t>
                </m:r>
              </m:e>
            </m:d>
          </m:num>
          <m:den>
            <m:r>
              <m:t xml:space="preserve">∂</m:t>
            </m:r>
            <m:sSup>
              <m:e>
                <m:r>
                  <m:t xml:space="preserve">t</m:t>
                </m:r>
              </m:e>
              <m:sup>
                <m:r>
                  <m:t xml:space="preserve">2</m:t>
                </m:r>
              </m:sup>
            </m:sSup>
          </m:den>
        </m:f>
        <m:r>
          <m:t xml:space="preserve">=</m:t>
        </m:r>
        <m:sSup>
          <m:e>
            <m:r>
              <m:t xml:space="preserve">c</m:t>
            </m:r>
          </m:e>
          <m:sup>
            <m:r>
              <m:t xml:space="preserve">2</m:t>
            </m:r>
          </m:sup>
        </m:sSup>
        <m:sSup>
          <m:e>
            <m:r>
              <m:t xml:space="preserve">∇</m:t>
            </m:r>
          </m:e>
          <m:sup>
            <m:r>
              <m:t xml:space="preserve">2</m:t>
            </m:r>
          </m:sup>
        </m:sSup>
        <m:r>
          <m:t xml:space="preserve">p</m:t>
        </m:r>
        <m:d>
          <m:dPr>
            <m:begChr m:val="("/>
            <m:endChr m:val=")"/>
          </m:dPr>
          <m:e>
            <m:r>
              <m:t xml:space="preserve">x</m:t>
            </m:r>
            <m:r>
              <m:t xml:space="preserve">,</m:t>
            </m:r>
            <m:r>
              <m:t xml:space="preserve">t</m:t>
            </m:r>
          </m:e>
        </m:d>
        <m:r>
          <m:t xml:space="preserve">+</m:t>
        </m:r>
        <m:r>
          <m:t xml:space="preserve">s</m:t>
        </m:r>
        <m:d>
          <m:dPr>
            <m:begChr m:val="("/>
            <m:endChr m:val=")"/>
          </m:dPr>
          <m:e>
            <m:r>
              <m:t xml:space="preserve">x</m:t>
            </m:r>
            <m:r>
              <m:t xml:space="preserve">,</m:t>
            </m:r>
            <m:r>
              <m:t xml:space="preserve">t</m:t>
            </m:r>
          </m:e>
        </m:d>
      </m:oMath>
      <w:r>
        <w:rPr/>
        <w:tab/>
      </w:r>
      <w:r>
        <w:rPr/>
        <w:t>(17)</w:t>
      </w:r>
    </w:p>
    <w:p>
      <w:pPr>
        <w:pStyle w:val="FirstParagraph"/>
        <w:rPr/>
      </w:pPr>
      <w:r>
        <w:rPr/>
        <w:t xml:space="preserve">where </w:t>
      </w:r>
      <w:r>
        <w:rPr/>
      </w:r>
      <m:oMath xmlns:m="http://schemas.openxmlformats.org/officeDocument/2006/math">
        <m:r>
          <m:t xml:space="preserve">c</m:t>
        </m:r>
      </m:oMath>
      <w:r>
        <w:rPr/>
        <w:t xml:space="preserve"> is the speed of sound in the transformer oil–air medium and </w:t>
      </w:r>
      <w:r>
        <w:rPr/>
      </w:r>
      <m:oMath xmlns:m="http://schemas.openxmlformats.org/officeDocument/2006/math">
        <m:r>
          <m:t xml:space="preserve">s</m:t>
        </m:r>
        <m:d>
          <m:dPr>
            <m:begChr m:val="("/>
            <m:endChr m:val=")"/>
          </m:dPr>
          <m:e>
            <m:r>
              <m:t xml:space="preserve">x</m:t>
            </m:r>
            <m:r>
              <m:t xml:space="preserve">,</m:t>
            </m:r>
            <m:r>
              <m:t xml:space="preserve">t</m:t>
            </m:r>
          </m:e>
        </m:d>
      </m:oMath>
      <w:r>
        <w:rPr/>
        <w:t xml:space="preserve"> represents acoustic sources (vibrating structures). For tonal and narrowband fault signatures, which characterize partial discharge (tonal), mechanical looseness (harmonic), and DC-bias (power-frequency harmonic) conditions, the pressure field admits a time-harmonic representation </w:t>
      </w:r>
      <w:r>
        <w:rPr/>
      </w:r>
      <m:oMath xmlns:m="http://schemas.openxmlformats.org/officeDocument/2006/math">
        <m:r>
          <m:t xml:space="preserve">p</m:t>
        </m:r>
        <m:d>
          <m:dPr>
            <m:begChr m:val="("/>
            <m:endChr m:val=")"/>
          </m:dPr>
          <m:e>
            <m:r>
              <m:t xml:space="preserve">x</m:t>
            </m:r>
            <m:r>
              <m:t xml:space="preserve">,</m:t>
            </m:r>
            <m:r>
              <m:t xml:space="preserve">t</m:t>
            </m:r>
          </m:e>
        </m:d>
        <m:r>
          <m:t xml:space="preserve">=</m:t>
        </m:r>
        <m:r>
          <m:t xml:space="preserve">ℜ</m:t>
        </m:r>
        <m:r>
          <m:t xml:space="preserve">{</m:t>
        </m:r>
        <m:acc>
          <m:accPr>
            <m:chr m:val="^"/>
          </m:accPr>
          <m:e>
            <m:r>
              <m:t xml:space="preserve">p</m:t>
            </m:r>
          </m:e>
        </m:acc>
        <m:d>
          <m:dPr>
            <m:begChr m:val="("/>
            <m:endChr m:val=")"/>
          </m:dPr>
          <m:e>
            <m:r>
              <m:t xml:space="preserve">x</m:t>
            </m:r>
          </m:e>
        </m:d>
        <m:sSup>
          <m:e>
            <m:r>
              <m:t xml:space="preserve">e</m:t>
            </m:r>
          </m:e>
          <m:sup>
            <m:r>
              <m:t xml:space="preserve">j</m:t>
            </m:r>
            <m:r>
              <m:t xml:space="preserve">ω</m:t>
            </m:r>
            <m:r>
              <m:t xml:space="preserve">t</m:t>
            </m:r>
          </m:sup>
        </m:sSup>
        <m:r>
          <m:t xml:space="preserve">}</m:t>
        </m:r>
      </m:oMath>
      <w:r>
        <w:rPr/>
        <w:t>. Substituting into (</w:t>
      </w:r>
      <w:hyperlink w:anchor="eq:wave">
        <w:r>
          <w:rPr>
            <w:rStyle w:val="InternetLink"/>
          </w:rPr>
          <w:t>1</w:t>
        </w:r>
      </w:hyperlink>
      <w:r>
        <w:rPr>
          <w:rStyle w:val="InternetLink"/>
        </w:rPr>
        <w:t>7</w:t>
      </w:r>
      <w:r>
        <w:rPr/>
        <w:t xml:space="preserve">) and assuming the source term is localized to the vibrating structure, the spatial component </w:t>
      </w:r>
      <w:r>
        <w:rPr/>
      </w:r>
      <m:oMath xmlns:m="http://schemas.openxmlformats.org/officeDocument/2006/math">
        <m:acc>
          <m:accPr>
            <m:chr m:val="^"/>
          </m:accPr>
          <m:e>
            <m:r>
              <m:t xml:space="preserve">p</m:t>
            </m:r>
          </m:e>
        </m:acc>
        <m:d>
          <m:dPr>
            <m:begChr m:val="("/>
            <m:endChr m:val=")"/>
          </m:dPr>
          <m:e>
            <m:r>
              <m:t xml:space="preserve">x</m:t>
            </m:r>
          </m:e>
        </m:d>
      </m:oMath>
      <w:r>
        <w:rPr/>
        <w:t xml:space="preserve"> satisfies the inhomogeneous Helmholtz equation:</w:t>
      </w:r>
    </w:p>
    <w:p>
      <w:pPr>
        <w:pStyle w:val="TextBody"/>
        <w:jc w:val="center"/>
        <w:rPr/>
      </w:pPr>
      <w:r>
        <w:rPr/>
      </w:r>
      <m:oMath xmlns:m="http://schemas.openxmlformats.org/officeDocument/2006/math">
        <m:sSup>
          <m:e>
            <m:r>
              <m:t xml:space="preserve">∇</m:t>
            </m:r>
          </m:e>
          <m:sup>
            <m:r>
              <m:t xml:space="preserve">2</m:t>
            </m:r>
          </m:sup>
        </m:sSup>
        <m:acc>
          <m:accPr>
            <m:chr m:val="^"/>
          </m:accPr>
          <m:e>
            <m:r>
              <m:t xml:space="preserve">p</m:t>
            </m:r>
          </m:e>
        </m:acc>
        <m:d>
          <m:dPr>
            <m:begChr m:val="("/>
            <m:endChr m:val=")"/>
          </m:dPr>
          <m:e>
            <m:r>
              <m:t xml:space="preserve">x</m:t>
            </m:r>
          </m:e>
        </m:d>
        <m:r>
          <m:t xml:space="preserve">+</m:t>
        </m:r>
        <m:sSup>
          <m:e>
            <m:r>
              <m:t xml:space="preserve">k</m:t>
            </m:r>
          </m:e>
          <m:sup>
            <m:r>
              <m:t xml:space="preserve">2</m:t>
            </m:r>
          </m:sup>
        </m:sSup>
        <m:acc>
          <m:accPr>
            <m:chr m:val="^"/>
          </m:accPr>
          <m:e>
            <m:r>
              <m:t xml:space="preserve">p</m:t>
            </m:r>
          </m:e>
        </m:acc>
        <m:d>
          <m:dPr>
            <m:begChr m:val="("/>
            <m:endChr m:val=")"/>
          </m:dPr>
          <m:e>
            <m:r>
              <m:t xml:space="preserve">x</m:t>
            </m:r>
          </m:e>
        </m:d>
        <m:r>
          <m:t xml:space="preserve">=</m:t>
        </m:r>
        <m:r>
          <m:t xml:space="preserve">−</m:t>
        </m:r>
        <m:acc>
          <m:accPr>
            <m:chr m:val="^"/>
          </m:accPr>
          <m:e>
            <m:r>
              <m:t xml:space="preserve">s</m:t>
            </m:r>
          </m:e>
        </m:acc>
        <m:d>
          <m:dPr>
            <m:begChr m:val="("/>
            <m:endChr m:val=")"/>
          </m:dPr>
          <m:e>
            <m:r>
              <m:t xml:space="preserve">x</m:t>
            </m:r>
          </m:e>
        </m:d>
      </m:oMath>
      <w:r>
        <w:rPr/>
        <w:tab/>
      </w:r>
      <w:r>
        <w:rPr/>
        <w:t>(18)</w:t>
      </w:r>
    </w:p>
    <w:p>
      <w:pPr>
        <w:pStyle w:val="FirstParagraph"/>
        <w:rPr/>
      </w:pPr>
      <w:r>
        <w:rPr/>
        <w:t xml:space="preserve">where </w:t>
      </w:r>
      <w:r>
        <w:rPr/>
      </w:r>
      <m:oMath xmlns:m="http://schemas.openxmlformats.org/officeDocument/2006/math">
        <m:r>
          <m:t xml:space="preserve">k</m:t>
        </m:r>
        <m:r>
          <m:t xml:space="preserve">=</m:t>
        </m:r>
        <m:f>
          <m:fPr>
            <m:type m:val="lin"/>
          </m:fPr>
          <m:num>
            <m:r>
              <m:t xml:space="preserve">ω</m:t>
            </m:r>
          </m:num>
          <m:den>
            <m:r>
              <m:t xml:space="preserve">c</m:t>
            </m:r>
          </m:den>
        </m:f>
      </m:oMath>
      <w:r>
        <w:rPr/>
        <w:t xml:space="preserve"> is the acoustic wavenumber. In regions of the domain sufficiently distant from active sources (i.e., where </w:t>
      </w:r>
      <w:r>
        <w:rPr/>
      </w:r>
      <m:oMath xmlns:m="http://schemas.openxmlformats.org/officeDocument/2006/math">
        <m:acc>
          <m:accPr>
            <m:chr m:val="^"/>
          </m:accPr>
          <m:e>
            <m:r>
              <m:t xml:space="preserve">s</m:t>
            </m:r>
          </m:e>
        </m:acc>
        <m:d>
          <m:dPr>
            <m:begChr m:val="("/>
            <m:endChr m:val=")"/>
          </m:dPr>
          <m:e>
            <m:r>
              <m:t xml:space="preserve">x</m:t>
            </m:r>
          </m:e>
        </m:d>
        <m:r>
          <m:t xml:space="preserve">≈</m:t>
        </m:r>
        <m:r>
          <m:t xml:space="preserve">0</m:t>
        </m:r>
      </m:oMath>
      <w:r>
        <w:rPr/>
        <w:t xml:space="preserve">), and at low frequencies where the acoustic wavelength </w:t>
      </w:r>
      <w:r>
        <w:rPr/>
      </w:r>
      <m:oMath xmlns:m="http://schemas.openxmlformats.org/officeDocument/2006/math">
        <m:r>
          <m:t xml:space="preserve">λ</m:t>
        </m:r>
        <m:r>
          <m:t xml:space="preserve">=</m:t>
        </m:r>
        <m:r>
          <m:t xml:space="preserve">2</m:t>
        </m:r>
        <m:f>
          <m:fPr>
            <m:type m:val="lin"/>
          </m:fPr>
          <m:num>
            <m:r>
              <m:t xml:space="preserve">π</m:t>
            </m:r>
          </m:num>
          <m:den>
            <m:r>
              <m:t xml:space="preserve">k</m:t>
            </m:r>
          </m:den>
        </m:f>
      </m:oMath>
      <w:r>
        <w:rPr/>
        <w:t xml:space="preserve"> is large relative to the spatial scale of pressure variations, the Helmholtz equation reduces to the Laplace equation:</w:t>
      </w:r>
    </w:p>
    <w:p>
      <w:pPr>
        <w:pStyle w:val="TextBody"/>
        <w:jc w:val="center"/>
        <w:rPr/>
      </w:pPr>
      <w:r>
        <w:rPr/>
      </w:r>
      <m:oMath xmlns:m="http://schemas.openxmlformats.org/officeDocument/2006/math">
        <m:sSup>
          <m:e>
            <m:r>
              <m:t xml:space="preserve">∇</m:t>
            </m:r>
          </m:e>
          <m:sup>
            <m:r>
              <m:t xml:space="preserve">2</m:t>
            </m:r>
          </m:sup>
        </m:sSup>
        <m:acc>
          <m:accPr>
            <m:chr m:val="^"/>
          </m:accPr>
          <m:e>
            <m:r>
              <m:t xml:space="preserve">p</m:t>
            </m:r>
          </m:e>
        </m:acc>
        <m:d>
          <m:dPr>
            <m:begChr m:val="("/>
            <m:endChr m:val=")"/>
          </m:dPr>
          <m:e>
            <m:r>
              <m:t xml:space="preserve">x</m:t>
            </m:r>
          </m:e>
        </m:d>
        <m:r>
          <m:t xml:space="preserve">≈</m:t>
        </m:r>
        <m:r>
          <m:t xml:space="preserve">0</m:t>
        </m:r>
        <m:r>
          <m:rPr>
            <m:lit/>
            <m:nor/>
          </m:rPr>
          <m:t xml:space="preserve">(source-free, low-frequency limit)</m:t>
        </m:r>
        <m:r>
          <m:t xml:space="preserve">.</m:t>
        </m:r>
      </m:oMath>
      <w:r>
        <w:rPr/>
        <w:tab/>
      </w:r>
      <w:r>
        <w:rPr/>
        <w:t>(19)</w:t>
      </w:r>
    </w:p>
    <w:p>
      <w:pPr>
        <w:pStyle w:val="FirstParagraph"/>
        <w:rPr/>
      </w:pPr>
      <w:r>
        <w:rPr/>
        <w:t>Equation (</w:t>
      </w:r>
      <w:hyperlink w:anchor="eq:laplace_physical">
        <w:r>
          <w:rPr>
            <w:rStyle w:val="InternetLink"/>
          </w:rPr>
          <w:t>1</w:t>
        </w:r>
      </w:hyperlink>
      <w:r>
        <w:rPr>
          <w:rStyle w:val="InternetLink"/>
        </w:rPr>
        <w:t>9</w:t>
      </w:r>
      <w:r>
        <w:rPr/>
        <w:t xml:space="preserve">) embodies a physically meaningful prior; i.e., in the absence of fault-induced acoustic irregularities, the pressure field within the transformer tank is spatially smooth. Fault conditions, such as partial discharge impulses, loose component rattling, or DC-bias-induced saturation harmonics, introduce localized acoustic sources that create deviations from this smoothness, manifesting as high-frequency spatial variations (large </w:t>
      </w:r>
      <w:r>
        <w:rPr/>
      </w:r>
      <m:oMath xmlns:m="http://schemas.openxmlformats.org/officeDocument/2006/math">
        <m:d>
          <m:dPr>
            <m:begChr m:val="|"/>
            <m:endChr m:val=")"/>
          </m:dPr>
          <m:e>
            <m:sSup>
              <m:e>
                <m:r>
                  <m:t xml:space="preserve">∇</m:t>
                </m:r>
              </m:e>
              <m:sup>
                <m:r>
                  <m:t xml:space="preserve">2</m:t>
                </m:r>
              </m:sup>
            </m:sSup>
            <m:acc>
              <m:accPr>
                <m:chr m:val="^"/>
              </m:accPr>
              <m:e>
                <m:r>
                  <m:t xml:space="preserve">p</m:t>
                </m:r>
              </m:e>
            </m:acc>
          </m:e>
        </m:d>
      </m:oMath>
      <w:r>
        <w:rPr/>
        <w:t>) in the spectrogram representation.</w:t>
      </w:r>
      <w:bookmarkEnd w:id="12"/>
    </w:p>
    <w:p>
      <w:pPr>
        <w:pStyle w:val="Heading2"/>
        <w:rPr/>
      </w:pPr>
      <w:bookmarkStart w:id="13" w:name="X94e5c02c88f55acef48ddb1df1a3d7be1ff7009"/>
      <w:r>
        <w:rPr/>
        <w:t>Laplacian Regularization as a Physics-Informed Constraint</w:t>
      </w:r>
    </w:p>
    <w:p>
      <w:pPr>
        <w:pStyle w:val="FirstParagraph"/>
        <w:rPr/>
      </w:pPr>
      <w:r>
        <w:rPr/>
        <w:t>Building on this physical insight, we incorporate the Laplacian smoothness prior into the neural network training objective. Rather than solving the PDE explicitly at collocation points, the conventional PINN approach for forward/inverse problems, we employ the Laplacian as a regularization functional applied to an auxiliary physical field predicted by the network. This design choice is motivated by three considerations: (i) it avoids the computational expense of automatic differentiation over spatiotemporal coordinates during each training iteration; (ii) it seamlessly integrates with standard CNN training pipelines; and (iii) it directly enforces the physical prior in the learned feature space, guiding the representation toward physically consistent solutions.</w:t>
      </w:r>
    </w:p>
    <w:p>
      <w:pPr>
        <w:pStyle w:val="TextBody"/>
        <w:rPr/>
      </w:pPr>
      <w:r>
        <w:rPr/>
        <w:t xml:space="preserve">Concretely, a lightweight </w:t>
      </w:r>
      <w:r>
        <w:rPr/>
      </w:r>
      <m:oMath xmlns:m="http://schemas.openxmlformats.org/officeDocument/2006/math">
        <m:r>
          <m:t xml:space="preserve">1</m:t>
        </m:r>
        <m:r>
          <m:t xml:space="preserve">×</m:t>
        </m:r>
        <m:r>
          <m:t xml:space="preserve">1</m:t>
        </m:r>
      </m:oMath>
      <w:r>
        <w:rPr/>
        <w:t xml:space="preserve"> convolutional head </w:t>
      </w:r>
      <w:r>
        <w:rPr/>
      </w:r>
      <m:oMath xmlns:m="http://schemas.openxmlformats.org/officeDocument/2006/math">
        <m:sSub>
          <m:e>
            <m:r>
              <m:t xml:space="preserve">H</m:t>
            </m:r>
          </m:e>
          <m:sub>
            <m:r>
              <m:rPr>
                <m:lit/>
                <m:nor/>
              </m:rPr>
              <m:t xml:space="preserve">phys</m:t>
            </m:r>
          </m:sub>
        </m:sSub>
      </m:oMath>
      <w:r>
        <w:rPr/>
        <w:t xml:space="preserve"> is appended after the final feature extraction layer to project the high-dimensional feature maps </w:t>
      </w:r>
      <w:r>
        <w:rPr/>
      </w:r>
      <m:oMath xmlns:m="http://schemas.openxmlformats.org/officeDocument/2006/math">
        <m:r>
          <m:t xml:space="preserve">F</m:t>
        </m:r>
        <m:r>
          <m:t xml:space="preserve">∈</m:t>
        </m:r>
        <m:sSup>
          <m:e>
            <m:r>
              <m:t xml:space="preserve">R</m:t>
            </m:r>
          </m:e>
          <m:sup>
            <m:r>
              <m:t xml:space="preserve">C</m:t>
            </m:r>
            <m:r>
              <m:t xml:space="preserve">×</m:t>
            </m:r>
            <m:r>
              <m:t xml:space="preserve">H</m:t>
            </m:r>
            <m:r>
              <m:t xml:space="preserve">×</m:t>
            </m:r>
            <m:r>
              <m:t xml:space="preserve">W</m:t>
            </m:r>
          </m:sup>
        </m:sSup>
      </m:oMath>
      <w:r>
        <w:rPr/>
        <w:t xml:space="preserve"> onto a scalar physical field </w:t>
      </w:r>
      <w:r>
        <w:rPr/>
      </w:r>
      <m:oMath xmlns:m="http://schemas.openxmlformats.org/officeDocument/2006/math">
        <m:r>
          <m:t xml:space="preserve">Φ</m:t>
        </m:r>
        <m:r>
          <m:t xml:space="preserve">∈</m:t>
        </m:r>
        <m:sSup>
          <m:e>
            <m:r>
              <m:t xml:space="preserve">R</m:t>
            </m:r>
          </m:e>
          <m:sup>
            <m:r>
              <m:t xml:space="preserve">1</m:t>
            </m:r>
            <m:r>
              <m:t xml:space="preserve">×</m:t>
            </m:r>
            <m:r>
              <m:t xml:space="preserve">H</m:t>
            </m:r>
            <m:r>
              <m:t xml:space="preserve">×</m:t>
            </m:r>
            <m:r>
              <m:t xml:space="preserve">W</m:t>
            </m:r>
          </m:sup>
        </m:sSup>
      </m:oMath>
      <w:r>
        <w:rPr/>
        <w:t>:</w:t>
      </w:r>
    </w:p>
    <w:p>
      <w:pPr>
        <w:pStyle w:val="TextBody"/>
        <w:jc w:val="center"/>
        <w:rPr/>
      </w:pPr>
      <w:r>
        <w:rPr/>
      </w:r>
      <m:oMath xmlns:m="http://schemas.openxmlformats.org/officeDocument/2006/math">
        <m:r>
          <m:t xml:space="preserve">Φ</m:t>
        </m:r>
        <m:r>
          <m:t xml:space="preserve">=</m:t>
        </m:r>
        <m:sSub>
          <m:e>
            <m:r>
              <m:t xml:space="preserve">H</m:t>
            </m:r>
          </m:e>
          <m:sub>
            <m:r>
              <m:rPr>
                <m:lit/>
                <m:nor/>
              </m:rPr>
              <m:t xml:space="preserve">phys</m:t>
            </m:r>
          </m:sub>
        </m:sSub>
        <m:d>
          <m:dPr>
            <m:begChr m:val="("/>
            <m:endChr m:val=")"/>
          </m:dPr>
          <m:e>
            <m:r>
              <m:t xml:space="preserve">F</m:t>
            </m:r>
            <m:r>
              <m:t xml:space="preserve">;</m:t>
            </m:r>
            <m:sSub>
              <m:e>
                <m:r>
                  <m:t xml:space="preserve">θ</m:t>
                </m:r>
              </m:e>
              <m:sub>
                <m:r>
                  <m:rPr>
                    <m:lit/>
                    <m:nor/>
                  </m:rPr>
                  <m:t xml:space="preserve">phys</m:t>
                </m:r>
              </m:sub>
            </m:sSub>
          </m:e>
        </m:d>
        <m:r>
          <m:t xml:space="preserve">.</m:t>
        </m:r>
      </m:oMath>
      <w:r>
        <w:rPr/>
        <w:tab/>
      </w:r>
      <w:r>
        <w:rPr/>
        <w:t>(20)</w:t>
      </w:r>
    </w:p>
    <w:p>
      <w:pPr>
        <w:pStyle w:val="FirstParagraph"/>
        <w:rPr/>
      </w:pPr>
      <w:r>
        <w:rPr/>
        <w:t>The Laplacian regularization loss is then defined as the mean squared discrete Laplacian of this field:</w:t>
      </w:r>
    </w:p>
    <w:p>
      <w:pPr>
        <w:pStyle w:val="TextBody"/>
        <w:jc w:val="center"/>
        <w:rPr/>
      </w:pPr>
      <w:r>
        <w:rPr/>
      </w:r>
      <m:oMath xmlns:m="http://schemas.openxmlformats.org/officeDocument/2006/math">
        <m:sSub>
          <m:e>
            <m:r>
              <m:t xml:space="preserve">L</m:t>
            </m:r>
          </m:e>
          <m:sub>
            <m:r>
              <m:rPr>
                <m:lit/>
                <m:nor/>
              </m:rPr>
              <m:t xml:space="preserve">phys</m:t>
            </m:r>
          </m:sub>
        </m:sSub>
        <m:d>
          <m:dPr>
            <m:begChr m:val="("/>
            <m:endChr m:val=")"/>
          </m:dPr>
          <m:e>
            <m:r>
              <m:t xml:space="preserve">Φ</m:t>
            </m:r>
          </m:e>
        </m:d>
        <m:r>
          <m:t xml:space="preserve">=</m:t>
        </m:r>
        <m:f>
          <m:num>
            <m:r>
              <m:t xml:space="preserve">1</m:t>
            </m:r>
          </m:num>
          <m:den>
            <m:d>
              <m:dPr>
                <m:begChr m:val="|"/>
                <m:endChr m:val=")"/>
              </m:dPr>
              <m:e>
                <m:r>
                  <m:t xml:space="preserve">Ω</m:t>
                </m:r>
              </m:e>
            </m:d>
          </m:den>
        </m:f>
        <m:nary>
          <m:naryPr>
            <m:chr m:val="∑"/>
            <m:supHide m:val="1"/>
          </m:naryPr>
          <m:sub>
            <m:d>
              <m:dPr>
                <m:begChr m:val="("/>
                <m:endChr m:val=")"/>
              </m:dPr>
              <m:e>
                <m:r>
                  <m:t xml:space="preserve">i</m:t>
                </m:r>
                <m:r>
                  <m:t xml:space="preserve">,</m:t>
                </m:r>
                <m:r>
                  <m:t xml:space="preserve">j</m:t>
                </m:r>
              </m:e>
            </m:d>
            <m:r>
              <m:t xml:space="preserve">∈</m:t>
            </m:r>
            <m:r>
              <m:t xml:space="preserve">Ω</m:t>
            </m:r>
          </m:sub>
          <m:sup/>
          <m:e>
            <m:sSup>
              <m:e>
                <m:d>
                  <m:dPr>
                    <m:begChr m:val="("/>
                    <m:endChr m:val=")"/>
                  </m:dPr>
                  <m:e>
                    <m:sSup>
                      <m:e>
                        <m:r>
                          <m:t xml:space="preserve">∇</m:t>
                        </m:r>
                      </m:e>
                      <m:sup>
                        <m:r>
                          <m:t xml:space="preserve">2</m:t>
                        </m:r>
                      </m:sup>
                    </m:sSup>
                    <m:sSub>
                      <m:e>
                        <m:r>
                          <m:t xml:space="preserve">Φ</m:t>
                        </m:r>
                      </m:e>
                      <m:sub>
                        <m:r>
                          <m:t xml:space="preserve">i</m:t>
                        </m:r>
                        <m:r>
                          <m:t xml:space="preserve">,</m:t>
                        </m:r>
                        <m:r>
                          <m:t xml:space="preserve">j</m:t>
                        </m:r>
                      </m:sub>
                    </m:sSub>
                  </m:e>
                </m:d>
              </m:e>
              <m:sup>
                <m:r>
                  <m:t xml:space="preserve">2</m:t>
                </m:r>
              </m:sup>
            </m:sSup>
          </m:e>
        </m:nary>
        <m:r>
          <m:t xml:space="preserve">,</m:t>
        </m:r>
      </m:oMath>
      <w:r>
        <w:rPr/>
        <w:tab/>
      </w:r>
      <w:r>
        <w:rPr/>
        <w:t>(21)</w:t>
      </w:r>
    </w:p>
    <w:p>
      <w:pPr>
        <w:pStyle w:val="FirstParagraph"/>
        <w:rPr/>
      </w:pPr>
      <w:r>
        <w:rPr/>
        <w:t xml:space="preserve">where </w:t>
      </w:r>
      <w:r>
        <w:rPr/>
      </w:r>
      <m:oMath xmlns:m="http://schemas.openxmlformats.org/officeDocument/2006/math">
        <m:r>
          <m:t xml:space="preserve">Ω</m:t>
        </m:r>
      </m:oMath>
      <w:r>
        <w:rPr/>
        <w:t xml:space="preserve"> denotes the spatial grid of the physical field, and the discrete Laplacian is approximated via second-order central finite differences:</w:t>
      </w:r>
    </w:p>
    <w:p>
      <w:pPr>
        <w:pStyle w:val="TextBody"/>
        <w:jc w:val="center"/>
        <w:rPr/>
      </w:pPr>
      <w:bookmarkStart w:id="14" w:name="X94e5c02c88f55acef48ddb1df1a3d7be1ff7009"/>
      <w:r>
        <w:rPr/>
      </w:r>
      <m:oMath xmlns:m="http://schemas.openxmlformats.org/officeDocument/2006/math">
        <m:sSup>
          <m:e>
            <m:r>
              <m:t xml:space="preserve">∇</m:t>
            </m:r>
          </m:e>
          <m:sup>
            <m:r>
              <m:t xml:space="preserve">2</m:t>
            </m:r>
          </m:sup>
        </m:sSup>
        <m:sSub>
          <m:e>
            <m:r>
              <m:t xml:space="preserve">Φ</m:t>
            </m:r>
          </m:e>
          <m:sub>
            <m:r>
              <m:t xml:space="preserve">i</m:t>
            </m:r>
            <m:r>
              <m:t xml:space="preserve">,</m:t>
            </m:r>
            <m:r>
              <m:t xml:space="preserve">j</m:t>
            </m:r>
          </m:sub>
        </m:sSub>
        <m:r>
          <m:t xml:space="preserve">≈</m:t>
        </m:r>
        <m:sSub>
          <m:e>
            <m:r>
              <m:t xml:space="preserve">Φ</m:t>
            </m:r>
          </m:e>
          <m:sub>
            <m:r>
              <m:t xml:space="preserve">i</m:t>
            </m:r>
            <m:r>
              <m:t xml:space="preserve">+</m:t>
            </m:r>
            <m:r>
              <m:t xml:space="preserve">1</m:t>
            </m:r>
            <m:r>
              <m:t xml:space="preserve">,</m:t>
            </m:r>
            <m:r>
              <m:t xml:space="preserve">j</m:t>
            </m:r>
          </m:sub>
        </m:sSub>
        <m:r>
          <m:t xml:space="preserve">+</m:t>
        </m:r>
        <m:sSub>
          <m:e>
            <m:r>
              <m:t xml:space="preserve">Φ</m:t>
            </m:r>
          </m:e>
          <m:sub>
            <m:r>
              <m:t xml:space="preserve">i</m:t>
            </m:r>
            <m:r>
              <m:t xml:space="preserve">−</m:t>
            </m:r>
            <m:r>
              <m:t xml:space="preserve">1</m:t>
            </m:r>
            <m:r>
              <m:t xml:space="preserve">,</m:t>
            </m:r>
            <m:r>
              <m:t xml:space="preserve">j</m:t>
            </m:r>
          </m:sub>
        </m:sSub>
        <m:r>
          <m:t xml:space="preserve">+</m:t>
        </m:r>
        <m:sSub>
          <m:e>
            <m:r>
              <m:t xml:space="preserve">Φ</m:t>
            </m:r>
          </m:e>
          <m:sub>
            <m:r>
              <m:t xml:space="preserve">i</m:t>
            </m:r>
            <m:r>
              <m:t xml:space="preserve">,</m:t>
            </m:r>
            <m:r>
              <m:t xml:space="preserve">j</m:t>
            </m:r>
            <m:r>
              <m:t xml:space="preserve">+</m:t>
            </m:r>
            <m:r>
              <m:t xml:space="preserve">1</m:t>
            </m:r>
          </m:sub>
        </m:sSub>
        <m:r>
          <m:t xml:space="preserve">+</m:t>
        </m:r>
        <m:sSub>
          <m:e>
            <m:r>
              <m:t xml:space="preserve">Φ</m:t>
            </m:r>
          </m:e>
          <m:sub>
            <m:r>
              <m:t xml:space="preserve">i</m:t>
            </m:r>
            <m:r>
              <m:t xml:space="preserve">,</m:t>
            </m:r>
            <m:r>
              <m:t xml:space="preserve">j</m:t>
            </m:r>
            <m:r>
              <m:t xml:space="preserve">−</m:t>
            </m:r>
            <m:r>
              <m:t xml:space="preserve">1</m:t>
            </m:r>
          </m:sub>
        </m:sSub>
        <m:r>
          <m:t xml:space="preserve">−</m:t>
        </m:r>
        <m:r>
          <m:t xml:space="preserve">4</m:t>
        </m:r>
        <m:sSub>
          <m:e>
            <m:r>
              <m:t xml:space="preserve">Φ</m:t>
            </m:r>
          </m:e>
          <m:sub>
            <m:r>
              <m:t xml:space="preserve">i</m:t>
            </m:r>
            <m:r>
              <m:t xml:space="preserve">,</m:t>
            </m:r>
            <m:r>
              <m:t xml:space="preserve">j</m:t>
            </m:r>
          </m:sub>
        </m:sSub>
        <m:r>
          <m:t xml:space="preserve">.</m:t>
        </m:r>
      </m:oMath>
      <w:bookmarkEnd w:id="14"/>
      <w:r>
        <w:rPr/>
        <w:tab/>
        <w:tab/>
      </w:r>
      <w:r>
        <w:rPr/>
        <w:t>(22)</w:t>
      </w:r>
    </w:p>
    <w:p>
      <w:pPr>
        <w:pStyle w:val="Heading2"/>
        <w:rPr/>
      </w:pPr>
      <w:bookmarkStart w:id="15" w:name="overall-training-objective"/>
      <w:r>
        <w:rPr/>
        <w:t>Overall Training Objective</w:t>
      </w:r>
    </w:p>
    <w:p>
      <w:pPr>
        <w:pStyle w:val="FirstParagraph"/>
        <w:rPr/>
      </w:pPr>
      <w:r>
        <w:rPr/>
        <w:t>The complete training loss combines the standard cross-entropy classification loss with the physics-informed regularization:</w:t>
      </w:r>
    </w:p>
    <w:p>
      <w:pPr>
        <w:pStyle w:val="TextBody"/>
        <w:jc w:val="center"/>
        <w:rPr/>
      </w:pPr>
      <w:r>
        <w:rPr/>
      </w:r>
      <m:oMath xmlns:m="http://schemas.openxmlformats.org/officeDocument/2006/math">
        <m:sSub>
          <m:e>
            <m:r>
              <m:t xml:space="preserve">L</m:t>
            </m:r>
          </m:e>
          <m:sub>
            <m:r>
              <m:rPr>
                <m:lit/>
                <m:nor/>
              </m:rPr>
              <m:t xml:space="preserve">total</m:t>
            </m:r>
          </m:sub>
        </m:sSub>
        <m:r>
          <m:t xml:space="preserve">=</m:t>
        </m:r>
        <m:sSub>
          <m:e>
            <m:r>
              <m:t xml:space="preserve">L</m:t>
            </m:r>
          </m:e>
          <m:sub>
            <m:r>
              <m:rPr>
                <m:lit/>
                <m:nor/>
              </m:rPr>
              <m:t xml:space="preserve">cls</m:t>
            </m:r>
          </m:sub>
        </m:sSub>
        <m:r>
          <m:t xml:space="preserve">+</m:t>
        </m:r>
        <m:sSub>
          <m:e>
            <m:r>
              <m:t xml:space="preserve">λ</m:t>
            </m:r>
          </m:e>
          <m:sub>
            <m:r>
              <m:rPr>
                <m:lit/>
                <m:nor/>
              </m:rPr>
              <m:t xml:space="preserve">phy</m:t>
            </m:r>
          </m:sub>
        </m:sSub>
        <m:sSub>
          <m:e>
            <m:r>
              <m:t xml:space="preserve">L</m:t>
            </m:r>
          </m:e>
          <m:sub>
            <m:r>
              <m:rPr>
                <m:lit/>
                <m:nor/>
              </m:rPr>
              <m:t xml:space="preserve">phys</m:t>
            </m:r>
          </m:sub>
        </m:sSub>
        <m:r>
          <m:t xml:space="preserve">,</m:t>
        </m:r>
      </m:oMath>
      <w:r>
        <w:rPr/>
        <w:tab/>
      </w:r>
      <w:r>
        <w:rPr/>
        <w:t>(23)</w:t>
      </w:r>
    </w:p>
    <w:p>
      <w:pPr>
        <w:pStyle w:val="FirstParagraph"/>
        <w:rPr/>
      </w:pPr>
      <w:r>
        <w:rPr/>
        <w:t>where:</w:t>
      </w:r>
    </w:p>
    <w:p>
      <w:pPr>
        <w:pStyle w:val="TextBody"/>
        <w:jc w:val="center"/>
        <w:rPr/>
      </w:pPr>
      <w:r>
        <w:rPr/>
      </w:r>
      <m:oMath xmlns:m="http://schemas.openxmlformats.org/officeDocument/2006/math">
        <m:sSub>
          <m:e>
            <m:r>
              <m:t xml:space="preserve">L</m:t>
            </m:r>
          </m:e>
          <m:sub>
            <m:r>
              <m:rPr>
                <m:lit/>
                <m:nor/>
              </m:rPr>
              <m:t xml:space="preserve">cls</m:t>
            </m:r>
          </m:sub>
        </m:sSub>
        <m:r>
          <m:t xml:space="preserve">=</m:t>
        </m:r>
        <m:r>
          <m:t xml:space="preserve">−</m:t>
        </m:r>
        <m:f>
          <m:num>
            <m:r>
              <m:t xml:space="preserve">1</m:t>
            </m:r>
          </m:num>
          <m:den>
            <m:r>
              <m:t xml:space="preserve">B</m:t>
            </m:r>
          </m:den>
        </m:f>
        <m:nary>
          <m:naryPr>
            <m:chr m:val="∑"/>
          </m:naryPr>
          <m:sub>
            <m:r>
              <m:t xml:space="preserve">b</m:t>
            </m:r>
            <m:r>
              <m:t xml:space="preserve">=</m:t>
            </m:r>
            <m:r>
              <m:t xml:space="preserve">1</m:t>
            </m:r>
          </m:sub>
          <m:sup>
            <m:r>
              <m:t xml:space="preserve">B</m:t>
            </m:r>
          </m:sup>
          <m:e>
            <m:nary>
              <m:naryPr>
                <m:chr m:val="∑"/>
              </m:naryPr>
              <m:sub>
                <m:r>
                  <m:t xml:space="preserve">c</m:t>
                </m:r>
                <m:r>
                  <m:t xml:space="preserve">=</m:t>
                </m:r>
                <m:r>
                  <m:t xml:space="preserve">1</m:t>
                </m:r>
              </m:sub>
              <m:sup>
                <m:r>
                  <m:t xml:space="preserve">K</m:t>
                </m:r>
              </m:sup>
              <m:e>
                <m:sSub>
                  <m:e>
                    <m:r>
                      <m:t xml:space="preserve">y</m:t>
                    </m:r>
                  </m:e>
                  <m:sub>
                    <m:r>
                      <m:t xml:space="preserve">b</m:t>
                    </m:r>
                    <m:r>
                      <m:t xml:space="preserve">,</m:t>
                    </m:r>
                    <m:r>
                      <m:t xml:space="preserve">c</m:t>
                    </m:r>
                  </m:sub>
                </m:sSub>
              </m:e>
            </m:nary>
          </m:e>
        </m:nary>
        <m:r>
          <m:t xml:space="preserve">log</m:t>
        </m:r>
        <m:sSub>
          <m:e>
            <m:acc>
              <m:accPr>
                <m:chr m:val="^"/>
              </m:accPr>
              <m:e>
                <m:r>
                  <m:t xml:space="preserve">y</m:t>
                </m:r>
              </m:e>
            </m:acc>
          </m:e>
          <m:sub>
            <m:r>
              <m:t xml:space="preserve">b</m:t>
            </m:r>
            <m:r>
              <m:t xml:space="preserve">,</m:t>
            </m:r>
            <m:r>
              <m:t xml:space="preserve">c</m:t>
            </m:r>
          </m:sub>
        </m:sSub>
      </m:oMath>
      <w:r>
        <w:rPr/>
        <w:tab/>
      </w:r>
      <w:r>
        <w:rPr/>
        <w:t>(24)</w:t>
      </w:r>
    </w:p>
    <w:p>
      <w:pPr>
        <w:pStyle w:val="FirstParagraph"/>
        <w:rPr/>
      </w:pPr>
      <w:r>
        <w:rPr/>
        <w:t xml:space="preserve">is the multi-class cross-entropy loss over </w:t>
      </w:r>
      <w:r>
        <w:rPr/>
      </w:r>
      <m:oMath xmlns:m="http://schemas.openxmlformats.org/officeDocument/2006/math">
        <m:r>
          <m:t xml:space="preserve">K</m:t>
        </m:r>
      </m:oMath>
      <w:r>
        <w:rPr/>
        <w:t xml:space="preserve"> fault categories with batch size </w:t>
      </w:r>
      <w:r>
        <w:rPr/>
      </w:r>
      <m:oMath xmlns:m="http://schemas.openxmlformats.org/officeDocument/2006/math">
        <m:r>
          <m:t xml:space="preserve">B</m:t>
        </m:r>
      </m:oMath>
      <w:r>
        <w:rPr/>
        <w:t xml:space="preserve">, and </w:t>
      </w:r>
      <w:r>
        <w:rPr/>
      </w:r>
      <m:oMath xmlns:m="http://schemas.openxmlformats.org/officeDocument/2006/math">
        <m:sSub>
          <m:e>
            <m:r>
              <m:t xml:space="preserve">λ</m:t>
            </m:r>
          </m:e>
          <m:sub>
            <m:r>
              <m:rPr>
                <m:lit/>
                <m:nor/>
              </m:rPr>
              <m:t xml:space="preserve">phy</m:t>
            </m:r>
          </m:sub>
        </m:sSub>
      </m:oMath>
      <w:r>
        <w:rPr/>
        <w:t xml:space="preserve"> is a hyperparameter controlling the strength of the physical constraint. The regularization weight </w:t>
      </w:r>
      <w:r>
        <w:rPr/>
      </w:r>
      <m:oMath xmlns:m="http://schemas.openxmlformats.org/officeDocument/2006/math">
        <m:sSub>
          <m:e>
            <m:r>
              <m:t xml:space="preserve">λ</m:t>
            </m:r>
          </m:e>
          <m:sub>
            <m:r>
              <m:rPr>
                <m:lit/>
                <m:nor/>
              </m:rPr>
              <m:t xml:space="preserve">phy</m:t>
            </m:r>
          </m:sub>
        </m:sSub>
        <m:r>
          <m:t xml:space="preserve">=</m:t>
        </m:r>
        <m:r>
          <m:t xml:space="preserve">0.1</m:t>
        </m:r>
      </m:oMath>
      <w:r>
        <w:rPr/>
        <w:t xml:space="preserve"> was determined through systematic sensitivity analysis (see Section 5.4) and achieves the optimal balance between data fidelity and physical consistency.</w:t>
      </w:r>
      <w:bookmarkEnd w:id="15"/>
    </w:p>
    <w:p>
      <w:pPr>
        <w:pStyle w:val="Heading2"/>
        <w:rPr/>
      </w:pPr>
      <w:bookmarkStart w:id="16" w:name="Xcd8d0fac4917e9c031a8400b93b593f753279aa"/>
      <w:r>
        <w:rPr/>
        <w:t>Physical Feedback Mechanism and Interpretability</w:t>
      </w:r>
    </w:p>
    <w:p>
      <w:pPr>
        <w:pStyle w:val="FirstParagraph"/>
        <w:rPr/>
      </w:pPr>
      <w:r>
        <w:rPr/>
        <w:t xml:space="preserve">A distinguishing aspect of the proposed framework is the physical feedback pathway. The physical field </w:t>
      </w:r>
      <w:r>
        <w:rPr/>
      </w:r>
      <m:oMath xmlns:m="http://schemas.openxmlformats.org/officeDocument/2006/math">
        <m:r>
          <m:t xml:space="preserve">Φ</m:t>
        </m:r>
      </m:oMath>
      <w:r>
        <w:rPr/>
        <w:t xml:space="preserve"> is not merely a regularizer; it is fed back into the classification head via global average pooling, enabling the classifier to leverage physically salient regions for decision-making. This design creates an information bottleneck that encourages the feature extractor to produce representations where fault-induced physical irregularities (regions of large </w:t>
      </w:r>
      <w:r>
        <w:rPr/>
      </w:r>
      <m:oMath xmlns:m="http://schemas.openxmlformats.org/officeDocument/2006/math">
        <m:d>
          <m:dPr>
            <m:begChr m:val="|"/>
            <m:endChr m:val=")"/>
          </m:dPr>
          <m:e>
            <m:sSup>
              <m:e>
                <m:r>
                  <m:t xml:space="preserve">∇</m:t>
                </m:r>
              </m:e>
              <m:sup>
                <m:r>
                  <m:t xml:space="preserve">2</m:t>
                </m:r>
              </m:sup>
            </m:sSup>
            <m:r>
              <m:t xml:space="preserve">Φ</m:t>
            </m:r>
          </m:e>
        </m:d>
      </m:oMath>
      <w:r>
        <w:rPr/>
        <w:t>) are explicitly localized and distinguishable from smooth background regions.</w:t>
      </w:r>
    </w:p>
    <w:p>
      <w:pPr>
        <w:pStyle w:val="TextBody"/>
        <w:rPr/>
      </w:pPr>
      <w:r>
        <w:rPr/>
        <w:t xml:space="preserve">The physical field thus serves as an interpretable saliency map: by visualizing </w:t>
      </w:r>
      <w:r>
        <w:rPr/>
      </w:r>
      <m:oMath xmlns:m="http://schemas.openxmlformats.org/officeDocument/2006/math">
        <m:r>
          <m:t xml:space="preserve">Φ</m:t>
        </m:r>
      </m:oMath>
      <w:r>
        <w:rPr/>
        <w:t xml:space="preserve"> and its Laplacian </w:t>
      </w:r>
      <w:r>
        <w:rPr/>
      </w:r>
      <m:oMath xmlns:m="http://schemas.openxmlformats.org/officeDocument/2006/math">
        <m:d>
          <m:dPr>
            <m:begChr m:val="|"/>
            <m:endChr m:val=")"/>
          </m:dPr>
          <m:e>
            <m:sSup>
              <m:e>
                <m:r>
                  <m:t xml:space="preserve">∇</m:t>
                </m:r>
              </m:e>
              <m:sup>
                <m:r>
                  <m:t xml:space="preserve">2</m:t>
                </m:r>
              </m:sup>
            </m:sSup>
            <m:r>
              <m:t xml:space="preserve">Φ</m:t>
            </m:r>
          </m:e>
        </m:d>
      </m:oMath>
      <w:r>
        <w:rPr/>
        <w:t>, one can identify which time–frequency regions the model associates with fault signatures, providing a degree of explainability that purely data-driven models lack. This is particularly valuable for transformer diagnosis, where operational decisions based on model predictions carry significant safety implications.</w:t>
      </w:r>
      <w:bookmarkEnd w:id="16"/>
    </w:p>
    <w:p>
      <w:pPr>
        <w:pStyle w:val="Heading2"/>
        <w:rPr/>
      </w:pPr>
      <w:bookmarkStart w:id="17" w:name="X14dbe40f5a723facbb31d9bb737701f7bf16c18"/>
      <w:r>
        <w:rPr/>
        <w:t>Distinction from Conventional PINN Formulations</w:t>
      </w:r>
    </w:p>
    <w:p>
      <w:pPr>
        <w:pStyle w:val="FirstParagraph"/>
        <w:rPr/>
      </w:pPr>
      <w:r>
        <w:rPr/>
        <w:t xml:space="preserve">It is important to clarify the distinction between the proposed approach and the classical PINN formulation [14]. Conventional PINNs solve forward/inverse PDE problems by representing the solution </w:t>
      </w:r>
      <w:r>
        <w:rPr/>
      </w:r>
      <m:oMath xmlns:m="http://schemas.openxmlformats.org/officeDocument/2006/math">
        <m:r>
          <m:t xml:space="preserve">u</m:t>
        </m:r>
        <m:d>
          <m:dPr>
            <m:begChr m:val="("/>
            <m:endChr m:val=")"/>
          </m:dPr>
          <m:e>
            <m:r>
              <m:t xml:space="preserve">x</m:t>
            </m:r>
            <m:r>
              <m:t xml:space="preserve">,</m:t>
            </m:r>
            <m:r>
              <m:t xml:space="preserve">t</m:t>
            </m:r>
          </m:e>
        </m:d>
      </m:oMath>
      <w:r>
        <w:rPr/>
        <w:t xml:space="preserve"> as a neural network and minimizing the PDE residual </w:t>
      </w:r>
      <w:r>
        <w:rPr/>
      </w:r>
      <m:oMath xmlns:m="http://schemas.openxmlformats.org/officeDocument/2006/math">
        <m:r>
          <m:t xml:space="preserve">∥</m:t>
        </m:r>
        <m:r>
          <m:t xml:space="preserve">D</m:t>
        </m:r>
        <m:d>
          <m:dPr>
            <m:begChr m:val="["/>
            <m:endChr m:val=")"/>
          </m:dPr>
          <m:e>
            <m:r>
              <m:t xml:space="preserve">u</m:t>
            </m:r>
          </m:e>
        </m:d>
        <m:r>
          <m:t xml:space="preserve">−</m:t>
        </m:r>
        <m:r>
          <m:t xml:space="preserve">s</m:t>
        </m:r>
        <m:sSup>
          <m:e>
            <m:r>
              <m:t xml:space="preserve">∥</m:t>
            </m:r>
          </m:e>
          <m:sup>
            <m:r>
              <m:t xml:space="preserve">2</m:t>
            </m:r>
          </m:sup>
        </m:sSup>
      </m:oMath>
      <w:r>
        <w:rPr/>
        <w:t xml:space="preserve"> evaluated at randomly sampled collocation points. This requires computing high-order derivatives via automatic differentiation, which is computationally intensive and primarily suited to low-dimensional, mesh-free settings.</w:t>
      </w:r>
    </w:p>
    <w:p>
      <w:pPr>
        <w:pStyle w:val="TextBody"/>
        <w:rPr/>
      </w:pPr>
      <w:r>
        <w:rPr/>
        <w:t xml:space="preserve">In contrast, our framework operates on the </w:t>
      </w:r>
      <w:r>
        <w:rPr>
          <w:b/>
          <w:bCs/>
        </w:rPr>
        <w:t>representation learning</w:t>
      </w:r>
      <w:r>
        <w:rPr/>
        <w:t xml:space="preserve"> paradigm: the physics prior (</w:t>
      </w:r>
      <w:r>
        <w:rPr/>
      </w:r>
      <m:oMath xmlns:m="http://schemas.openxmlformats.org/officeDocument/2006/math">
        <m:sSup>
          <m:e>
            <m:r>
              <m:t xml:space="preserve">∇</m:t>
            </m:r>
          </m:e>
          <m:sup>
            <m:r>
              <m:t xml:space="preserve">2</m:t>
            </m:r>
          </m:sup>
        </m:sSup>
        <m:r>
          <m:t xml:space="preserve">≈</m:t>
        </m:r>
        <m:r>
          <m:t xml:space="preserve">0</m:t>
        </m:r>
      </m:oMath>
      <w:r>
        <w:rPr/>
        <w:t xml:space="preserve">) is enforced not on the network’s input–output mapping, but on an </w:t>
      </w:r>
      <w:r>
        <w:rPr>
          <w:b/>
          <w:bCs/>
        </w:rPr>
        <w:t>internal feature representation</w:t>
      </w:r>
      <w:r>
        <w:rPr/>
        <w:t xml:space="preserve"> learned from high-dimensional spectrogram data. This shifts the role of physics from “solving equations” to “guiding representation learning,” which is more appropriate for the fault diagnosis context where the governing PDE is used as a qualitative prior rather than a quantitative simulation tool. We refer to this formulation as </w:t>
      </w:r>
      <w:r>
        <w:rPr>
          <w:i/>
          <w:iCs/>
        </w:rPr>
        <w:t>physics-informed representation learning</w:t>
      </w:r>
      <w:r>
        <w:rPr/>
        <w:t xml:space="preserve"> to distinguish it from the classical PINN literature.</w:t>
      </w:r>
      <w:bookmarkEnd w:id="17"/>
    </w:p>
    <w:p>
      <w:pPr>
        <w:pStyle w:val="Heading2"/>
        <w:rPr/>
      </w:pPr>
      <w:bookmarkStart w:id="18" w:name="X44796d696865c573c2f9f7e17dc2776ec89dc35"/>
      <w:r>
        <w:rPr/>
        <w:t>Backbone Architecture: Improved AlexNet-SE</w:t>
      </w:r>
    </w:p>
    <w:p>
      <w:pPr>
        <w:pStyle w:val="FirstParagraph"/>
        <w:rPr/>
      </w:pPr>
      <w:r>
        <w:rPr/>
        <w:t>To demonstrate the effectiveness of the physics-informed representation learning framework, the improved AlexNet-SE architecture is adopted as the primary backbone. The architecture incorporates the following modifications to the standard AlexNet design:</w:t>
      </w:r>
    </w:p>
    <w:p>
      <w:pPr>
        <w:pStyle w:val="Normal"/>
        <w:numPr>
          <w:ilvl w:val="0"/>
          <w:numId w:val="18"/>
        </w:numPr>
        <w:rPr/>
      </w:pPr>
      <w:r>
        <w:rPr>
          <w:b/>
          <w:bCs/>
        </w:rPr>
        <w:t>Reduced kernel sizes:</w:t>
      </w:r>
      <w:r>
        <w:rPr/>
        <w:t xml:space="preserve"> The original </w:t>
      </w:r>
      <w:r>
        <w:rPr/>
      </w:r>
      <m:oMath xmlns:m="http://schemas.openxmlformats.org/officeDocument/2006/math">
        <m:r>
          <m:t xml:space="preserve">11</m:t>
        </m:r>
        <m:r>
          <m:t xml:space="preserve">×</m:t>
        </m:r>
        <m:r>
          <m:t xml:space="preserve">11</m:t>
        </m:r>
      </m:oMath>
      <w:r>
        <w:rPr/>
        <w:t xml:space="preserve"> and </w:t>
      </w:r>
      <w:r>
        <w:rPr/>
      </w:r>
      <m:oMath xmlns:m="http://schemas.openxmlformats.org/officeDocument/2006/math">
        <m:r>
          <m:t xml:space="preserve">5</m:t>
        </m:r>
        <m:r>
          <m:t xml:space="preserve">×</m:t>
        </m:r>
        <m:r>
          <m:t xml:space="preserve">5</m:t>
        </m:r>
      </m:oMath>
      <w:r>
        <w:rPr/>
        <w:t xml:space="preserve"> convolutional kernels are replaced with </w:t>
      </w:r>
      <w:r>
        <w:rPr/>
      </w:r>
      <m:oMath xmlns:m="http://schemas.openxmlformats.org/officeDocument/2006/math">
        <m:r>
          <m:t xml:space="preserve">5</m:t>
        </m:r>
        <m:r>
          <m:t xml:space="preserve">×</m:t>
        </m:r>
        <m:r>
          <m:t xml:space="preserve">5</m:t>
        </m:r>
      </m:oMath>
      <w:r>
        <w:rPr/>
        <w:t xml:space="preserve"> and </w:t>
      </w:r>
      <w:r>
        <w:rPr/>
      </w:r>
      <m:oMath xmlns:m="http://schemas.openxmlformats.org/officeDocument/2006/math">
        <m:r>
          <m:t xml:space="preserve">3</m:t>
        </m:r>
        <m:r>
          <m:t xml:space="preserve">×</m:t>
        </m:r>
        <m:r>
          <m:t xml:space="preserve">3</m:t>
        </m:r>
      </m:oMath>
      <w:r>
        <w:rPr/>
        <w:t xml:space="preserve"> kernels, respectively, to better capture fine-grained texture patterns in spectrogram images while reducing parameter count.</w:t>
      </w:r>
    </w:p>
    <w:p>
      <w:pPr>
        <w:pStyle w:val="Normal"/>
        <w:numPr>
          <w:ilvl w:val="0"/>
          <w:numId w:val="19"/>
        </w:numPr>
        <w:rPr/>
      </w:pPr>
      <w:r>
        <w:rPr>
          <w:b/>
          <w:bCs/>
        </w:rPr>
        <w:t>Batch Normalization (BN):</w:t>
      </w:r>
      <w:r>
        <w:rPr/>
        <w:t xml:space="preserve"> BN layers are inserted after each convolutional layer to stabilize training dynamics and accelerate convergence, which is particularly beneficial given the limited dataset size.</w:t>
      </w:r>
    </w:p>
    <w:p>
      <w:pPr>
        <w:pStyle w:val="Normal"/>
        <w:numPr>
          <w:ilvl w:val="0"/>
          <w:numId w:val="20"/>
        </w:numPr>
        <w:rPr/>
      </w:pPr>
      <w:r>
        <w:rPr>
          <w:b/>
          <w:bCs/>
        </w:rPr>
        <w:t>Squeeze-and-Excitation (SE) attention:</w:t>
      </w:r>
      <w:r>
        <w:rPr/>
        <w:t xml:space="preserve"> An SE module is appended after each BN–ReLU block to perform channel-wise feature recalibration. The SE module learns to emphasize informative channels (e.g., those encoding fault-specific frequency bands) while suppressing less relevant ones, thereby enhancing the network’s representational capacity [37].</w:t>
      </w:r>
    </w:p>
    <w:p>
      <w:pPr>
        <w:pStyle w:val="Normal"/>
        <w:numPr>
          <w:ilvl w:val="0"/>
          <w:numId w:val="21"/>
        </w:numPr>
        <w:rPr/>
      </w:pPr>
      <w:r>
        <w:rPr>
          <w:b/>
          <w:bCs/>
        </w:rPr>
        <w:t>Physical output head:</w:t>
      </w:r>
      <w:r>
        <w:rPr/>
        <w:t xml:space="preserve"> A </w:t>
      </w:r>
      <w:r>
        <w:rPr/>
      </w:r>
      <m:oMath xmlns:m="http://schemas.openxmlformats.org/officeDocument/2006/math">
        <m:r>
          <m:t xml:space="preserve">1</m:t>
        </m:r>
        <m:r>
          <m:t xml:space="preserve">×</m:t>
        </m:r>
        <m:r>
          <m:t xml:space="preserve">1</m:t>
        </m:r>
      </m:oMath>
      <w:r>
        <w:rPr/>
        <w:t xml:space="preserve"> convolution projects the final feature maps to the scalar physical field </w:t>
      </w:r>
      <w:r>
        <w:rPr/>
      </w:r>
      <m:oMath xmlns:m="http://schemas.openxmlformats.org/officeDocument/2006/math">
        <m:r>
          <m:t xml:space="preserve">Φ</m:t>
        </m:r>
      </m:oMath>
      <w:r>
        <w:rPr/>
        <w:t>, enabling the physics-informed regularization described in Section 4.2.</w:t>
      </w:r>
    </w:p>
    <w:p>
      <w:pPr>
        <w:pStyle w:val="Normal"/>
        <w:numPr>
          <w:ilvl w:val="0"/>
          <w:numId w:val="22"/>
        </w:numPr>
        <w:rPr/>
      </w:pPr>
      <w:r>
        <w:rPr>
          <w:b/>
          <w:bCs/>
        </w:rPr>
        <w:t>Regularized classifier:</w:t>
      </w:r>
      <w:r>
        <w:rPr/>
        <w:t xml:space="preserve"> Dropout regularization (rate 0.5) is applied in the fully connected layers, and </w:t>
      </w:r>
      <w:r>
        <w:rPr/>
      </w:r>
      <m:oMath xmlns:m="http://schemas.openxmlformats.org/officeDocument/2006/math">
        <m:sSub>
          <m:e>
            <m:r>
              <m:t xml:space="preserve">L</m:t>
            </m:r>
          </m:e>
          <m:sub>
            <m:r>
              <m:t xml:space="preserve">2</m:t>
            </m:r>
          </m:sub>
        </m:sSub>
      </m:oMath>
      <w:r>
        <w:rPr/>
        <w:t xml:space="preserve"> weight decay (</w:t>
      </w:r>
      <w:r>
        <w:rPr/>
      </w:r>
      <m:oMath xmlns:m="http://schemas.openxmlformats.org/officeDocument/2006/math">
        <m:r>
          <m:t xml:space="preserve">λ</m:t>
        </m:r>
        <m:r>
          <m:t xml:space="preserve">=</m:t>
        </m:r>
        <m:sSup>
          <m:e>
            <m:r>
              <m:t xml:space="preserve">10</m:t>
            </m:r>
          </m:e>
          <m:sup>
            <m:r>
              <m:t xml:space="preserve">−</m:t>
            </m:r>
            <m:r>
              <m:t xml:space="preserve">4</m:t>
            </m:r>
          </m:sup>
        </m:sSup>
      </m:oMath>
      <w:r>
        <w:rPr/>
        <w:t>) is used throughout to mitigate overfitting on the limited training data.</w:t>
      </w:r>
    </w:p>
    <w:p>
      <w:pPr>
        <w:pStyle w:val="FirstParagraph"/>
        <w:rPr/>
      </w:pPr>
      <w:r>
        <w:rPr/>
        <w:t>To comprehensively evaluate the generalizability of the physics-informed framework, four additional backbone architectures, i.e., LeNet, ResNet-18, ConvNeXt-T, and VGG-11, are also implemented with identical physical output heads and training procedures. Their architectural details are summarized in Table </w:t>
      </w:r>
      <w:hyperlink w:anchor="tab1">
        <w:r>
          <w:rPr>
            <w:rStyle w:val="InternetLink"/>
          </w:rPr>
          <w:t>1</w:t>
        </w:r>
      </w:hyperlink>
      <w:r>
        <w:rPr/>
        <w:t>. The comparative results (Section 5.2) demonstrate that the physics-informed regularization consistently improves performance across diverse backbone architectures, confirming its general effectiveness.</w:t>
      </w:r>
    </w:p>
    <w:p>
      <w:pPr>
        <w:pStyle w:val="CaptionedFigure"/>
        <w:rPr/>
      </w:pPr>
      <w:r>
        <w:rPr/>
      </w:r>
    </w:p>
    <w:p>
      <w:pPr>
        <w:pStyle w:val="TableCaption"/>
        <w:rPr/>
      </w:pPr>
      <w:r>
        <w:rPr/>
        <w:t>Table </w:t>
      </w:r>
      <w:hyperlink w:anchor="tab1">
        <w:r>
          <w:rPr>
            <w:rStyle w:val="InternetLink"/>
          </w:rPr>
          <w:t>1</w:t>
        </w:r>
      </w:hyperlink>
      <w:r>
        <w:rPr>
          <w:rStyle w:val="InternetLink"/>
        </w:rPr>
        <w:t xml:space="preserve"> </w:t>
      </w:r>
      <w:bookmarkStart w:id="19" w:name="tab1"/>
      <w:r>
        <w:rPr/>
        <w:t>Network Architecture of Modules (Enhanced for PINNs)</w:t>
      </w:r>
    </w:p>
    <w:tbl>
      <w:tblPr>
        <w:tblStyle w:val="Table"/>
        <w:tblW w:w="7917"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w:t>
            </w:r>
          </w:p>
        </w:tc>
        <w:tc>
          <w:tcPr>
            <w:tcW w:w="11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1132"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size (C</w:t>
            </w:r>
            <w:r>
              <w:rPr>
                <w:rFonts w:eastAsia="Cambria" w:cs=""/>
                <w:kern w:val="0"/>
                <w:sz w:val="24"/>
                <w:szCs w:val="24"/>
                <w:lang w:val="en-US" w:eastAsia="en-US" w:bidi="ar-SA"/>
              </w:rPr>
            </w:r>
            <m:oMath xmlns:m="http://schemas.openxmlformats.org/officeDocument/2006/math">
              <m:r>
                <m:t xml:space="preserve">×</m:t>
              </m:r>
            </m:oMath>
            <w:r>
              <w:rPr>
                <w:rFonts w:eastAsia="Cambria" w:cs=""/>
                <w:b/>
                <w:bCs/>
                <w:kern w:val="0"/>
                <w:sz w:val="24"/>
                <w:szCs w:val="24"/>
                <w:lang w:val="en-US" w:eastAsia="en-US" w:bidi="ar-SA"/>
              </w:rPr>
              <w:t>H</w:t>
            </w:r>
            <w:r>
              <w:rPr>
                <w:rFonts w:eastAsia="Cambria" w:cs=""/>
                <w:kern w:val="0"/>
                <w:sz w:val="24"/>
                <w:szCs w:val="24"/>
                <w:lang w:val="en-US" w:eastAsia="en-US" w:bidi="ar-SA"/>
              </w:rPr>
            </w:r>
            <m:oMath xmlns:m="http://schemas.openxmlformats.org/officeDocument/2006/math">
              <m:r>
                <m:t xml:space="preserve">×</m:t>
              </m:r>
            </m:oMath>
            <w:r>
              <w:rPr>
                <w:rFonts w:eastAsia="Cambria" w:cs=""/>
                <w:b/>
                <w:bCs/>
                <w:kern w:val="0"/>
                <w:sz w:val="24"/>
                <w:szCs w:val="24"/>
                <w:lang w:val="en-US" w:eastAsia="en-US" w:bidi="ar-SA"/>
              </w:rPr>
              <w:t>W)</w:t>
            </w:r>
          </w:p>
        </w:tc>
        <w:tc>
          <w:tcPr>
            <w:tcW w:w="113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Kernel size</w:t>
            </w:r>
          </w:p>
        </w:tc>
        <w:tc>
          <w:tcPr>
            <w:tcW w:w="1132"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Stride</w:t>
            </w:r>
          </w:p>
        </w:tc>
        <w:tc>
          <w:tcPr>
            <w:tcW w:w="113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1131"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size (C</w:t>
            </w:r>
            <w:r>
              <w:rPr>
                <w:rFonts w:eastAsia="Cambria" w:cs=""/>
                <w:kern w:val="0"/>
                <w:sz w:val="24"/>
                <w:szCs w:val="24"/>
                <w:lang w:val="en-US" w:eastAsia="en-US" w:bidi="ar-SA"/>
              </w:rPr>
            </w:r>
            <m:oMath xmlns:m="http://schemas.openxmlformats.org/officeDocument/2006/math">
              <m:r>
                <m:t xml:space="preserve">×</m:t>
              </m:r>
            </m:oMath>
            <w:r>
              <w:rPr>
                <w:rFonts w:eastAsia="Cambria" w:cs=""/>
                <w:b/>
                <w:bCs/>
                <w:kern w:val="0"/>
                <w:sz w:val="24"/>
                <w:szCs w:val="24"/>
                <w:lang w:val="en-US" w:eastAsia="en-US" w:bidi="ar-SA"/>
              </w:rPr>
              <w:t>H</w:t>
            </w:r>
            <w:r>
              <w:rPr>
                <w:rFonts w:eastAsia="Cambria" w:cs=""/>
                <w:kern w:val="0"/>
                <w:sz w:val="24"/>
                <w:szCs w:val="24"/>
                <w:lang w:val="en-US" w:eastAsia="en-US" w:bidi="ar-SA"/>
              </w:rPr>
            </w:r>
            <m:oMath xmlns:m="http://schemas.openxmlformats.org/officeDocument/2006/math">
              <m:r>
                <m:t xml:space="preserve">×</m:t>
              </m:r>
            </m:oMath>
            <w:r>
              <w:rPr>
                <w:rFonts w:eastAsia="Cambria" w:cs=""/>
                <w:b/>
                <w:bCs/>
                <w:kern w:val="0"/>
                <w:sz w:val="24"/>
                <w:szCs w:val="24"/>
                <w:lang w:val="en-US" w:eastAsia="en-US" w:bidi="ar-SA"/>
              </w:rPr>
              <w:t>W)</w:t>
            </w:r>
          </w:p>
        </w:tc>
      </w:tr>
      <w:tr>
        <w:trPr/>
        <w:tc>
          <w:tcPr>
            <w:tcW w:w="1131" w:type="dxa"/>
            <w:vMerge w:val="restart"/>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LeNet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ReLU1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AvgPool1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ReLU2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AvgPool2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108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Phys_Out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54</w:t>
            </w:r>
          </w:p>
        </w:tc>
      </w:tr>
      <w:tr>
        <w:trPr/>
        <w:tc>
          <w:tcPr>
            <w:tcW w:w="1131" w:type="dxa"/>
            <w:vMerge w:val="restart"/>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ResNet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BN + ReLU</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MaxPool</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BasicBlock1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BasicBlock2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BasicBlock3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BasicBlock4</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Phys_Out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AvgPool</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Adaptive</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r>
      <w:tr>
        <w:trPr/>
        <w:tc>
          <w:tcPr>
            <w:tcW w:w="1131" w:type="dxa"/>
            <w:vMerge w:val="restart"/>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ConvNeXt</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Stem Conv</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Downsample1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Downsample2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Downsample3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4</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Phys_Out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AvgPool</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7</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Adaptive</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768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r>
      <w:tr>
        <w:trPr/>
        <w:tc>
          <w:tcPr>
            <w:tcW w:w="1131" w:type="dxa"/>
            <w:vMerge w:val="restart"/>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AlexNet-SE</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224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BN + ReLU + SE</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MaxPool1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BN + ReLU + SE</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MaxPool2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56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BN + ReLU + SE</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AdaptiveAvgPool</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28</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p>
        </w:tc>
      </w:tr>
      <w:tr>
        <w:trPr/>
        <w:tc>
          <w:tcPr>
            <w:tcW w:w="1131" w:type="dxa"/>
            <w:vMerge w:val="continue"/>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Phys_Out</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4</w:t>
            </w:r>
            <w:bookmarkEnd w:id="11"/>
            <w:bookmarkEnd w:id="18"/>
            <w:bookmarkEnd w:id="19"/>
          </w:p>
        </w:tc>
      </w:tr>
    </w:tbl>
    <w:p>
      <w:pPr>
        <w:pStyle w:val="Heading1"/>
        <w:rPr/>
      </w:pPr>
      <w:r>
        <w:rPr/>
        <w:t>Experimental Setup and Results</w:t>
      </w:r>
    </w:p>
    <w:p>
      <w:pPr>
        <w:pStyle w:val="Heading2"/>
        <w:rPr/>
      </w:pPr>
      <w:bookmarkStart w:id="20" w:name="data-collection-and-description"/>
      <w:r>
        <w:rPr/>
        <w:t>Data Collection and Description</w:t>
      </w:r>
    </w:p>
    <w:p>
      <w:pPr>
        <w:pStyle w:val="FirstParagraph"/>
        <w:rPr/>
      </w:pPr>
      <w:r>
        <w:rPr/>
        <w:t>The acoustic dataset used in this study was collected from an operational 220 kV power transformer at a working substation. Acoustic signals were captured using an omnidirectional measurement microphone mounted on a tripod positioned approximately 1.2 m from the transformer tank surface, as shown in Fig. </w:t>
      </w:r>
      <w:hyperlink w:anchor="fig7">
        <w:r>
          <w:rPr>
            <w:rStyle w:val="InternetLink"/>
          </w:rPr>
          <w:t>8</w:t>
        </w:r>
      </w:hyperlink>
      <w:r>
        <w:rPr/>
        <w:t>. All recordings were digitized at a sampling rate of 44.1 kHz with 16-bit resolution and segmented into non-overlapping 1-second clips. The dataset encompasses five distinct transformer operating conditions:</w:t>
      </w:r>
    </w:p>
    <w:p>
      <w:pPr>
        <w:pStyle w:val="Normal"/>
        <w:numPr>
          <w:ilvl w:val="0"/>
          <w:numId w:val="6"/>
        </w:numPr>
        <w:rPr/>
      </w:pPr>
      <w:r>
        <w:rPr/>
        <w:t>N0: Normal operation (185 segments)</w:t>
      </w:r>
    </w:p>
    <w:p>
      <w:pPr>
        <w:pStyle w:val="Normal"/>
        <w:numPr>
          <w:ilvl w:val="0"/>
          <w:numId w:val="6"/>
        </w:numPr>
        <w:rPr/>
      </w:pPr>
      <w:r>
        <w:rPr/>
        <w:t>N1: Short-circuit impact (119 segments)</w:t>
      </w:r>
    </w:p>
    <w:p>
      <w:pPr>
        <w:pStyle w:val="Normal"/>
        <w:numPr>
          <w:ilvl w:val="0"/>
          <w:numId w:val="6"/>
        </w:numPr>
        <w:rPr/>
      </w:pPr>
      <w:r>
        <w:rPr/>
        <w:t>N2: DC-bias (119 segments)</w:t>
      </w:r>
    </w:p>
    <w:p>
      <w:pPr>
        <w:pStyle w:val="Normal"/>
        <w:numPr>
          <w:ilvl w:val="0"/>
          <w:numId w:val="6"/>
        </w:numPr>
        <w:rPr/>
      </w:pPr>
      <w:r>
        <w:rPr/>
        <w:t>N3: Mechanical looseness (119 segments)</w:t>
      </w:r>
    </w:p>
    <w:p>
      <w:pPr>
        <w:pStyle w:val="Normal"/>
        <w:numPr>
          <w:ilvl w:val="0"/>
          <w:numId w:val="6"/>
        </w:numPr>
        <w:rPr/>
      </w:pPr>
      <w:r>
        <w:rPr/>
        <w:t>N4: Partial discharge (119 segments)</w:t>
      </w:r>
    </w:p>
    <w:p>
      <w:pPr>
        <w:pStyle w:val="FirstParagraph"/>
        <w:rPr/>
      </w:pPr>
      <w:r>
        <w:rPr/>
        <w:t>as summarized in Table </w:t>
      </w:r>
      <w:hyperlink w:anchor="tab2">
        <w:r>
          <w:rPr>
            <w:rStyle w:val="InternetLink"/>
          </w:rPr>
          <w:t>2</w:t>
        </w:r>
      </w:hyperlink>
      <w:r>
        <w:rPr/>
        <w:t>.</w:t>
      </w:r>
    </w:p>
    <w:p>
      <w:pPr>
        <w:pStyle w:val="TableCaption"/>
        <w:rPr/>
      </w:pPr>
      <w:r>
        <w:rPr/>
        <w:t>Table </w:t>
      </w:r>
      <w:hyperlink w:anchor="tab2">
        <w:r>
          <w:rPr>
            <w:rStyle w:val="InternetLink"/>
          </w:rPr>
          <w:t>2</w:t>
        </w:r>
      </w:hyperlink>
      <w:r>
        <w:rPr>
          <w:rStyle w:val="InternetLink"/>
        </w:rPr>
        <w:t xml:space="preserve"> </w:t>
      </w:r>
      <w:r>
        <w:rPr>
          <w:rStyle w:val="InternetLink"/>
          <w:i/>
          <w:color w:val="auto"/>
        </w:rPr>
        <w:t>Summary of Transformer Operating Conditions</w:t>
      </w:r>
    </w:p>
    <w:tbl>
      <w:tblPr>
        <w:tblW w:w="5000" w:type="pct"/>
        <w:jc w:val="start"/>
        <w:tblInd w:w="55" w:type="dxa"/>
        <w:tblLayout w:type="fixed"/>
        <w:tblCellMar>
          <w:top w:w="55" w:type="dxa"/>
          <w:start w:w="55" w:type="dxa"/>
          <w:bottom w:w="55" w:type="dxa"/>
          <w:end w:w="55" w:type="dxa"/>
        </w:tblCellMar>
      </w:tblPr>
      <w:tblGrid>
        <w:gridCol w:w="3120"/>
        <w:gridCol w:w="3120"/>
        <w:gridCol w:w="3120"/>
      </w:tblGrid>
      <w:tr>
        <w:trPr/>
        <w:tc>
          <w:tcPr>
            <w:tcW w:w="3120" w:type="dxa"/>
            <w:tcBorders/>
          </w:tcPr>
          <w:p>
            <w:pPr>
              <w:pStyle w:val="TextBody"/>
              <w:spacing w:before="180" w:after="180"/>
              <w:rPr/>
            </w:pPr>
            <w:r>
              <w:rPr/>
              <w:t>Label</w:t>
            </w:r>
          </w:p>
        </w:tc>
        <w:tc>
          <w:tcPr>
            <w:tcW w:w="3120" w:type="dxa"/>
            <w:tcBorders/>
          </w:tcPr>
          <w:p>
            <w:pPr>
              <w:pStyle w:val="TextBody"/>
              <w:spacing w:before="180" w:after="180"/>
              <w:rPr/>
            </w:pPr>
            <w:r>
              <w:rPr/>
              <w:t>Operational status</w:t>
            </w:r>
          </w:p>
        </w:tc>
        <w:tc>
          <w:tcPr>
            <w:tcW w:w="3120" w:type="dxa"/>
            <w:tcBorders/>
          </w:tcPr>
          <w:p>
            <w:pPr>
              <w:pStyle w:val="TextBody"/>
              <w:spacing w:before="180" w:after="180"/>
              <w:rPr/>
            </w:pPr>
            <w:r>
              <w:rPr/>
              <w:t>Segments</w:t>
            </w:r>
          </w:p>
        </w:tc>
      </w:tr>
      <w:tr>
        <w:trPr/>
        <w:tc>
          <w:tcPr>
            <w:tcW w:w="3120" w:type="dxa"/>
            <w:tcBorders/>
          </w:tcPr>
          <w:p>
            <w:pPr>
              <w:pStyle w:val="TextBody"/>
              <w:spacing w:before="180" w:after="180"/>
              <w:rPr/>
            </w:pPr>
            <w:r>
              <w:rPr/>
              <w:t xml:space="preserve">N0 </w:t>
            </w:r>
          </w:p>
        </w:tc>
        <w:tc>
          <w:tcPr>
            <w:tcW w:w="3120" w:type="dxa"/>
            <w:tcBorders/>
          </w:tcPr>
          <w:p>
            <w:pPr>
              <w:pStyle w:val="TextBody"/>
              <w:spacing w:before="180" w:after="180"/>
              <w:rPr/>
            </w:pPr>
            <w:r>
              <w:rPr/>
              <w:t>Normal</w:t>
            </w:r>
          </w:p>
        </w:tc>
        <w:tc>
          <w:tcPr>
            <w:tcW w:w="3120" w:type="dxa"/>
            <w:tcBorders/>
          </w:tcPr>
          <w:p>
            <w:pPr>
              <w:pStyle w:val="TextBody"/>
              <w:spacing w:before="180" w:after="180"/>
              <w:rPr/>
            </w:pPr>
            <w:r>
              <w:rPr/>
              <w:t>185</w:t>
            </w:r>
          </w:p>
        </w:tc>
      </w:tr>
      <w:tr>
        <w:trPr/>
        <w:tc>
          <w:tcPr>
            <w:tcW w:w="3120" w:type="dxa"/>
            <w:tcBorders/>
          </w:tcPr>
          <w:p>
            <w:pPr>
              <w:pStyle w:val="TextBody"/>
              <w:spacing w:before="180" w:after="180"/>
              <w:rPr/>
            </w:pPr>
            <w:r>
              <w:rPr/>
              <w:t>N1</w:t>
            </w:r>
          </w:p>
        </w:tc>
        <w:tc>
          <w:tcPr>
            <w:tcW w:w="3120" w:type="dxa"/>
            <w:tcBorders/>
          </w:tcPr>
          <w:p>
            <w:pPr>
              <w:pStyle w:val="TextBody"/>
              <w:spacing w:before="180" w:after="180"/>
              <w:rPr/>
            </w:pPr>
            <w:r>
              <w:rPr/>
              <w:t>Short-circuit impact</w:t>
            </w:r>
          </w:p>
        </w:tc>
        <w:tc>
          <w:tcPr>
            <w:tcW w:w="3120" w:type="dxa"/>
            <w:tcBorders/>
          </w:tcPr>
          <w:p>
            <w:pPr>
              <w:pStyle w:val="TextBody"/>
              <w:spacing w:before="180" w:after="180"/>
              <w:rPr/>
            </w:pPr>
            <w:r>
              <w:rPr/>
              <w:t>119</w:t>
            </w:r>
          </w:p>
        </w:tc>
      </w:tr>
      <w:tr>
        <w:trPr/>
        <w:tc>
          <w:tcPr>
            <w:tcW w:w="3120" w:type="dxa"/>
            <w:tcBorders/>
          </w:tcPr>
          <w:p>
            <w:pPr>
              <w:pStyle w:val="TextBody"/>
              <w:spacing w:before="180" w:after="180"/>
              <w:rPr/>
            </w:pPr>
            <w:r>
              <w:rPr/>
              <w:t>N2</w:t>
            </w:r>
          </w:p>
        </w:tc>
        <w:tc>
          <w:tcPr>
            <w:tcW w:w="3120" w:type="dxa"/>
            <w:tcBorders/>
          </w:tcPr>
          <w:p>
            <w:pPr>
              <w:pStyle w:val="TextBody"/>
              <w:spacing w:before="180" w:after="180"/>
              <w:rPr/>
            </w:pPr>
            <w:r>
              <w:rPr/>
              <w:t>DC-bias</w:t>
            </w:r>
          </w:p>
        </w:tc>
        <w:tc>
          <w:tcPr>
            <w:tcW w:w="3120" w:type="dxa"/>
            <w:tcBorders/>
          </w:tcPr>
          <w:p>
            <w:pPr>
              <w:pStyle w:val="TextBody"/>
              <w:spacing w:before="180" w:after="180"/>
              <w:rPr/>
            </w:pPr>
            <w:r>
              <w:rPr/>
              <w:t>119</w:t>
            </w:r>
          </w:p>
        </w:tc>
      </w:tr>
      <w:tr>
        <w:trPr/>
        <w:tc>
          <w:tcPr>
            <w:tcW w:w="3120" w:type="dxa"/>
            <w:tcBorders/>
          </w:tcPr>
          <w:p>
            <w:pPr>
              <w:pStyle w:val="TextBody"/>
              <w:spacing w:before="180" w:after="180"/>
              <w:rPr/>
            </w:pPr>
            <w:r>
              <w:rPr/>
              <w:t xml:space="preserve">N3 </w:t>
            </w:r>
          </w:p>
        </w:tc>
        <w:tc>
          <w:tcPr>
            <w:tcW w:w="3120" w:type="dxa"/>
            <w:tcBorders/>
          </w:tcPr>
          <w:p>
            <w:pPr>
              <w:pStyle w:val="TextBody"/>
              <w:spacing w:before="180" w:after="180"/>
              <w:rPr/>
            </w:pPr>
            <w:r>
              <w:rPr/>
              <w:t>Mechanical looseness</w:t>
            </w:r>
          </w:p>
        </w:tc>
        <w:tc>
          <w:tcPr>
            <w:tcW w:w="3120" w:type="dxa"/>
            <w:tcBorders/>
          </w:tcPr>
          <w:p>
            <w:pPr>
              <w:pStyle w:val="TextBody"/>
              <w:spacing w:before="180" w:after="180"/>
              <w:rPr/>
            </w:pPr>
            <w:r>
              <w:rPr/>
              <w:t>119</w:t>
            </w:r>
          </w:p>
        </w:tc>
      </w:tr>
      <w:tr>
        <w:trPr/>
        <w:tc>
          <w:tcPr>
            <w:tcW w:w="3120" w:type="dxa"/>
            <w:tcBorders/>
          </w:tcPr>
          <w:p>
            <w:pPr>
              <w:pStyle w:val="TextBody"/>
              <w:spacing w:before="180" w:after="180"/>
              <w:rPr/>
            </w:pPr>
            <w:r>
              <w:rPr/>
              <w:t>N4</w:t>
            </w:r>
          </w:p>
        </w:tc>
        <w:tc>
          <w:tcPr>
            <w:tcW w:w="3120" w:type="dxa"/>
            <w:tcBorders/>
          </w:tcPr>
          <w:p>
            <w:pPr>
              <w:pStyle w:val="TextBody"/>
              <w:spacing w:before="180" w:after="180"/>
              <w:rPr/>
            </w:pPr>
            <w:r>
              <w:rPr/>
              <w:t>Partial discharge</w:t>
            </w:r>
          </w:p>
        </w:tc>
        <w:tc>
          <w:tcPr>
            <w:tcW w:w="3120" w:type="dxa"/>
            <w:tcBorders/>
          </w:tcPr>
          <w:p>
            <w:pPr>
              <w:pStyle w:val="TextBody"/>
              <w:spacing w:before="180" w:after="180"/>
              <w:rPr/>
            </w:pPr>
            <w:r>
              <w:rPr/>
              <w:t>119</w:t>
            </w:r>
          </w:p>
        </w:tc>
      </w:tr>
    </w:tbl>
    <w:p>
      <w:pPr>
        <w:pStyle w:val="TextBody"/>
        <w:rPr/>
      </w:pPr>
      <w:r>
        <w:rPr/>
      </w:r>
    </w:p>
    <w:p>
      <w:pPr>
        <w:pStyle w:val="TextBody"/>
        <w:rPr/>
      </w:pPr>
      <w:r>
        <w:rPr>
          <w:b/>
          <w:bCs/>
        </w:rPr>
        <w:t>Data split protocol to prevent leakage.</w:t>
      </w:r>
      <w:r>
        <w:rPr/>
        <w:t xml:space="preserve"> A critical concern in acoustic fault diagnosis is the risk of data leakage when segments from the same recording session appear in both training and test sets. To rigorously address this, the dataset was partitioned by independent recording sessions; All segments originating from the same recording session (i.e., the same continuous audio recording) were assigned exclusively to either the training or test partition, never both. This ensures that the model is evaluated on acoustic data acquired during separate measurement sessions, which may differ in ambient noise, microphone placement, and transformer load conditions, a scenario representative of real-world deployment.</w:t>
      </w:r>
    </w:p>
    <w:p>
      <w:pPr>
        <w:pStyle w:val="TextBody"/>
        <w:rPr/>
      </w:pPr>
      <w:r>
        <w:rPr/>
        <w:t>After session-aware partitioning, the dataset was split into training (70%), validation (10%), and test (20%) sets using stratified sampling to preserve class proportions, as detailed in Table </w:t>
      </w:r>
      <w:r>
        <w:rPr>
          <w:rStyle w:val="InternetLink"/>
        </w:rPr>
        <w:t>3</w:t>
      </w:r>
      <w:r>
        <w:rPr/>
        <w:t>. To address class imbalance (the N0 class contains approximately 1.55</w:t>
      </w:r>
      <w:r>
        <w:rPr/>
      </w:r>
      <m:oMath xmlns:m="http://schemas.openxmlformats.org/officeDocument/2006/math">
        <m:r>
          <m:t xml:space="preserve">×</m:t>
        </m:r>
      </m:oMath>
      <w:r>
        <w:rPr/>
        <w:t xml:space="preserve"> more samples than each fault class), class-weighted sampling was employed during training: each sample’s probability of being drawn in a mini-batch is inversely proportional to its class frequency, ensuring balanced exposure across all fault categories.</w:t>
      </w:r>
    </w:p>
    <w:p>
      <w:pPr>
        <w:pStyle w:val="TableCaption"/>
        <w:rPr/>
      </w:pPr>
      <w:r>
        <w:rPr/>
        <w:t>Table </w:t>
      </w:r>
      <w:r>
        <w:rPr/>
        <w:t>3</w:t>
      </w:r>
      <w:r>
        <w:rPr>
          <w:rStyle w:val="InternetLink"/>
        </w:rPr>
        <w:t xml:space="preserve"> </w:t>
      </w:r>
      <w:bookmarkStart w:id="21" w:name="tab3"/>
      <w:r>
        <w:rPr/>
        <w:t>Composition of the Experimental Dataset (Session-Aware Split)</w:t>
      </w:r>
    </w:p>
    <w:tbl>
      <w:tblPr>
        <w:tblStyle w:val="Table"/>
        <w:tblW w:w="7917"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Split</w:t>
            </w:r>
          </w:p>
        </w:tc>
        <w:tc>
          <w:tcPr>
            <w:tcW w:w="113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Total</w:t>
            </w:r>
          </w:p>
        </w:tc>
        <w:tc>
          <w:tcPr>
            <w:tcW w:w="5655" w:type="dxa"/>
            <w:gridSpan w:val="5"/>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Samples per class</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1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N0</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13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Test</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13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13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bookmarkEnd w:id="21"/>
          </w:p>
        </w:tc>
      </w:tr>
    </w:tbl>
    <w:p>
      <w:pPr>
        <w:pStyle w:val="CaptionedFigure"/>
        <w:rPr/>
      </w:pPr>
      <w:r>
        <w:rPr/>
        <w:drawing>
          <wp:inline distT="0" distB="0" distL="0" distR="0">
            <wp:extent cx="5334000" cy="201295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tretch>
                      <a:fillRect/>
                    </a:stretch>
                  </pic:blipFill>
                  <pic:spPr bwMode="auto">
                    <a:xfrm>
                      <a:off x="0" y="0"/>
                      <a:ext cx="5334000" cy="2012950"/>
                    </a:xfrm>
                    <a:prstGeom prst="rect">
                      <a:avLst/>
                    </a:prstGeom>
                  </pic:spPr>
                </pic:pic>
              </a:graphicData>
            </a:graphic>
          </wp:inline>
        </w:drawing>
      </w:r>
    </w:p>
    <w:p>
      <w:pPr>
        <w:pStyle w:val="ImageCaption"/>
        <w:rPr/>
      </w:pPr>
      <w:r>
        <w:rPr/>
        <w:t>Fig. </w:t>
      </w:r>
      <w:r>
        <w:rPr>
          <w:rStyle w:val="InternetLink"/>
        </w:rPr>
        <w:t>8</w:t>
      </w:r>
      <w:r>
        <w:rPr/>
        <w:t xml:space="preserve"> </w:t>
      </w:r>
      <w:r>
        <w:rPr/>
        <w:t>Experimental platform for transformer acoustic signal acquisition at the substation.</w:t>
      </w:r>
    </w:p>
    <w:p>
      <w:pPr>
        <w:pStyle w:val="TextBody"/>
        <w:rPr/>
      </w:pPr>
      <w:r>
        <w:rPr/>
        <w:t>The overall feature extraction and classification pipeline is illustrated in Fig. </w:t>
      </w:r>
      <w:hyperlink w:anchor="fig8">
        <w:r>
          <w:rPr>
            <w:rStyle w:val="InternetLink"/>
          </w:rPr>
          <w:t>9</w:t>
        </w:r>
      </w:hyperlink>
      <w:r>
        <w:rPr/>
        <w:t>.</w:t>
      </w:r>
    </w:p>
    <w:p>
      <w:pPr>
        <w:pStyle w:val="CaptionedFigure"/>
        <w:rPr/>
      </w:pPr>
      <w:r>
        <w:rPr/>
        <w:drawing>
          <wp:inline distT="0" distB="0" distL="0" distR="0">
            <wp:extent cx="5334000" cy="227774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tretch>
                      <a:fillRect/>
                    </a:stretch>
                  </pic:blipFill>
                  <pic:spPr bwMode="auto">
                    <a:xfrm>
                      <a:off x="0" y="0"/>
                      <a:ext cx="5334000" cy="2277745"/>
                    </a:xfrm>
                    <a:prstGeom prst="rect">
                      <a:avLst/>
                    </a:prstGeom>
                  </pic:spPr>
                </pic:pic>
              </a:graphicData>
            </a:graphic>
          </wp:inline>
        </w:drawing>
      </w:r>
    </w:p>
    <w:p>
      <w:pPr>
        <w:pStyle w:val="ImageCaption"/>
        <w:rPr/>
      </w:pPr>
      <w:r>
        <w:rPr/>
        <w:t>Fig. </w:t>
      </w:r>
      <w:hyperlink w:anchor="fig8">
        <w:r>
          <w:rPr>
            <w:rStyle w:val="InternetLink"/>
          </w:rPr>
          <w:t>9</w:t>
        </w:r>
      </w:hyperlink>
      <w:r>
        <w:rPr>
          <w:rStyle w:val="InternetLink"/>
        </w:rPr>
        <w:t xml:space="preserve"> </w:t>
      </w:r>
      <w:r>
        <w:rPr/>
        <w:t xml:space="preserve">End-to-end pipeline of the proposed transformer fault diagnosis framework: raw acoustic signal </w:t>
      </w:r>
      <w:r>
        <w:rPr/>
      </w:r>
      <m:oMath xmlns:m="http://schemas.openxmlformats.org/officeDocument/2006/math">
        <m:r>
          <m:t xml:space="preserve">→</m:t>
        </m:r>
      </m:oMath>
      <w:r>
        <w:rPr/>
        <w:t xml:space="preserve"> Mel spectrogram + GADF </w:t>
      </w:r>
      <w:r>
        <w:rPr/>
      </w:r>
      <m:oMath xmlns:m="http://schemas.openxmlformats.org/officeDocument/2006/math">
        <m:r>
          <m:t xml:space="preserve">→</m:t>
        </m:r>
      </m:oMath>
      <w:r>
        <w:rPr/>
        <w:t xml:space="preserve"> three-channel fusion with gamma correction </w:t>
      </w:r>
      <w:r>
        <w:rPr/>
      </w:r>
      <m:oMath xmlns:m="http://schemas.openxmlformats.org/officeDocument/2006/math">
        <m:r>
          <m:t xml:space="preserve">→</m:t>
        </m:r>
      </m:oMath>
      <w:r>
        <w:rPr/>
        <w:t xml:space="preserve"> PCNN enhancement </w:t>
      </w:r>
      <w:r>
        <w:rPr/>
      </w:r>
      <m:oMath xmlns:m="http://schemas.openxmlformats.org/officeDocument/2006/math">
        <m:r>
          <m:t xml:space="preserve">→</m:t>
        </m:r>
      </m:oMath>
      <w:r>
        <w:rPr/>
        <w:t xml:space="preserve"> physics-informed AlexNet-SE classification.</w:t>
      </w:r>
    </w:p>
    <w:p>
      <w:pPr>
        <w:pStyle w:val="TextBody"/>
        <w:rPr/>
      </w:pPr>
      <w:bookmarkStart w:id="22" w:name="data-collection-and-description"/>
      <w:r>
        <w:rPr/>
        <w:t>All experiments were conducted on a workstation with an Intel i9-14900K CPU and an NVIDIA RTX 5090 GPU (32 GB VRAM), running PyTorch 2.7, CUDA 12.8, and Python 3.11.</w:t>
      </w:r>
      <w:bookmarkEnd w:id="22"/>
    </w:p>
    <w:p>
      <w:pPr>
        <w:pStyle w:val="Heading2"/>
        <w:rPr/>
      </w:pPr>
      <w:bookmarkStart w:id="23" w:name="evaluation-metrics"/>
      <w:r>
        <w:rPr/>
        <w:t>Evaluation Metrics</w:t>
      </w:r>
    </w:p>
    <w:p>
      <w:pPr>
        <w:pStyle w:val="FirstParagraph"/>
        <w:rPr/>
      </w:pPr>
      <w:r>
        <w:rPr/>
        <w:t>To comprehensively assess classification performance, the following metrics are reported for all experiments:</w:t>
      </w:r>
    </w:p>
    <w:p>
      <w:pPr>
        <w:pStyle w:val="Normal"/>
        <w:numPr>
          <w:ilvl w:val="0"/>
          <w:numId w:val="23"/>
        </w:numPr>
        <w:rPr/>
      </w:pPr>
      <w:r>
        <w:rPr>
          <w:b/>
          <w:bCs/>
        </w:rPr>
        <w:t>Accuracy (Acc):</w:t>
      </w:r>
      <w:r>
        <w:rPr/>
        <w:t xml:space="preserve"> Overall proportion of correctly classified samples.</w:t>
      </w:r>
    </w:p>
    <w:p>
      <w:pPr>
        <w:pStyle w:val="Normal"/>
        <w:numPr>
          <w:ilvl w:val="0"/>
          <w:numId w:val="24"/>
        </w:numPr>
        <w:rPr/>
      </w:pPr>
      <w:r>
        <w:rPr>
          <w:b/>
          <w:bCs/>
        </w:rPr>
        <w:t>Weighted Precision (</w:t>
      </w:r>
      <w:r>
        <w:rPr/>
      </w:r>
      <m:oMath xmlns:m="http://schemas.openxmlformats.org/officeDocument/2006/math">
        <m:sSub>
          <m:e>
            <m:r>
              <m:t xml:space="preserve">P</m:t>
            </m:r>
          </m:e>
          <m:sub>
            <m:r>
              <m:t xml:space="preserve">w</m:t>
            </m:r>
          </m:sub>
        </m:sSub>
      </m:oMath>
      <w:r>
        <w:rPr>
          <w:b/>
          <w:bCs/>
        </w:rPr>
        <w:t>):</w:t>
      </w:r>
      <w:r>
        <w:rPr/>
        <w:t xml:space="preserve"> Class-frequency-weighted average of per-class precision.</w:t>
      </w:r>
    </w:p>
    <w:p>
      <w:pPr>
        <w:pStyle w:val="Normal"/>
        <w:numPr>
          <w:ilvl w:val="0"/>
          <w:numId w:val="25"/>
        </w:numPr>
        <w:rPr/>
      </w:pPr>
      <w:r>
        <w:rPr>
          <w:b/>
          <w:bCs/>
        </w:rPr>
        <w:t xml:space="preserve">Weighted </w:t>
      </w:r>
      <w:r>
        <w:rPr/>
      </w:r>
      <m:oMath xmlns:m="http://schemas.openxmlformats.org/officeDocument/2006/math">
        <m:sSub>
          <m:e>
            <m:r>
              <m:t xml:space="preserve">F</m:t>
            </m:r>
          </m:e>
          <m:sub>
            <m:r>
              <m:t xml:space="preserve">1</m:t>
            </m:r>
          </m:sub>
        </m:sSub>
      </m:oMath>
      <w:r>
        <w:rPr>
          <w:b/>
          <w:bCs/>
        </w:rPr>
        <w:t>-score (</w:t>
      </w:r>
      <w:r>
        <w:rPr/>
      </w:r>
      <m:oMath xmlns:m="http://schemas.openxmlformats.org/officeDocument/2006/math">
        <m:sSubSup>
          <m:e>
            <m:r>
              <m:t xml:space="preserve">F</m:t>
            </m:r>
          </m:e>
          <m:sub>
            <m:r>
              <m:t xml:space="preserve">1</m:t>
            </m:r>
          </m:sub>
          <m:sup>
            <m:r>
              <m:t xml:space="preserve">w</m:t>
            </m:r>
          </m:sup>
        </m:sSubSup>
      </m:oMath>
      <w:r>
        <w:rPr>
          <w:b/>
          <w:bCs/>
        </w:rPr>
        <w:t>):</w:t>
      </w:r>
      <w:r>
        <w:rPr/>
        <w:t xml:space="preserve"> Harmonic mean of weighted precision and recall.</w:t>
      </w:r>
    </w:p>
    <w:p>
      <w:pPr>
        <w:pStyle w:val="Normal"/>
        <w:numPr>
          <w:ilvl w:val="0"/>
          <w:numId w:val="26"/>
        </w:numPr>
        <w:rPr/>
      </w:pPr>
      <w:r>
        <w:rPr>
          <w:b/>
          <w:bCs/>
        </w:rPr>
        <w:t>Geometric Mean (</w:t>
      </w:r>
      <w:r>
        <w:rPr/>
      </w:r>
      <m:oMath xmlns:m="http://schemas.openxmlformats.org/officeDocument/2006/math">
        <m:sSub>
          <m:e>
            <m:r>
              <m:t xml:space="preserve">G</m:t>
            </m:r>
          </m:e>
          <m:sub>
            <m:r>
              <m:rPr>
                <m:lit/>
                <m:nor/>
              </m:rPr>
              <m:t xml:space="preserve">mean</m:t>
            </m:r>
          </m:sub>
        </m:sSub>
      </m:oMath>
      <w:r>
        <w:rPr>
          <w:b/>
          <w:bCs/>
        </w:rPr>
        <w:t>):</w:t>
      </w:r>
      <w:r>
        <w:rPr/>
        <w:t xml:space="preserve"> </w:t>
      </w:r>
      <w:r>
        <w:rPr/>
      </w:r>
      <m:oMath xmlns:m="http://schemas.openxmlformats.org/officeDocument/2006/math">
        <m:r>
          <m:t xml:space="preserve">K</m:t>
        </m:r>
      </m:oMath>
      <w:r>
        <w:rPr/>
        <w:t>-th root of the product of per-class recalls:</w:t>
      </w:r>
    </w:p>
    <w:p>
      <w:pPr>
        <w:pStyle w:val="TextBody"/>
        <w:jc w:val="center"/>
        <w:rPr/>
      </w:pPr>
      <w:r>
        <w:rPr/>
      </w:r>
      <m:oMath xmlns:m="http://schemas.openxmlformats.org/officeDocument/2006/math">
        <m:sSub>
          <m:e>
            <m:r>
              <m:t xml:space="preserve">G</m:t>
            </m:r>
          </m:e>
          <m:sub>
            <m:r>
              <m:rPr>
                <m:lit/>
                <m:nor/>
              </m:rPr>
              <m:t xml:space="preserve">mean</m:t>
            </m:r>
          </m:sub>
        </m:sSub>
        <m:r>
          <m:t xml:space="preserve">=</m:t>
        </m:r>
        <m:sSup>
          <m:e>
            <m:d>
              <m:dPr>
                <m:begChr m:val="("/>
                <m:endChr m:val=")"/>
              </m:dPr>
              <m:e>
                <m:nary>
                  <m:naryPr>
                    <m:chr m:val="∏"/>
                  </m:naryPr>
                  <m:sub>
                    <m:r>
                      <m:t xml:space="preserve">i</m:t>
                    </m:r>
                    <m:r>
                      <m:t xml:space="preserve">=</m:t>
                    </m:r>
                    <m:r>
                      <m:t xml:space="preserve">1</m:t>
                    </m:r>
                  </m:sub>
                  <m:sup>
                    <m:r>
                      <m:t xml:space="preserve">K</m:t>
                    </m:r>
                  </m:sup>
                  <m:e>
                    <m:f>
                      <m:num>
                        <m:r>
                          <m:t xml:space="preserve">T</m:t>
                        </m:r>
                        <m:sSub>
                          <m:e>
                            <m:r>
                              <m:t xml:space="preserve">P</m:t>
                            </m:r>
                          </m:e>
                          <m:sub>
                            <m:r>
                              <m:t xml:space="preserve">i</m:t>
                            </m:r>
                          </m:sub>
                        </m:sSub>
                      </m:num>
                      <m:den>
                        <m:r>
                          <m:t xml:space="preserve">T</m:t>
                        </m:r>
                        <m:sSub>
                          <m:e>
                            <m:r>
                              <m:t xml:space="preserve">P</m:t>
                            </m:r>
                          </m:e>
                          <m:sub>
                            <m:r>
                              <m:t xml:space="preserve">i</m:t>
                            </m:r>
                          </m:sub>
                        </m:sSub>
                        <m:r>
                          <m:t xml:space="preserve">+</m:t>
                        </m:r>
                        <m:r>
                          <m:t xml:space="preserve">F</m:t>
                        </m:r>
                        <m:sSub>
                          <m:e>
                            <m:r>
                              <m:t xml:space="preserve">N</m:t>
                            </m:r>
                          </m:e>
                          <m:sub>
                            <m:r>
                              <m:t xml:space="preserve">i</m:t>
                            </m:r>
                          </m:sub>
                        </m:sSub>
                      </m:den>
                    </m:f>
                  </m:e>
                </m:nary>
              </m:e>
            </m:d>
          </m:e>
          <m:sup>
            <m:f>
              <m:num>
                <m:r>
                  <m:t xml:space="preserve">1</m:t>
                </m:r>
              </m:num>
              <m:den>
                <m:r>
                  <m:t xml:space="preserve">K</m:t>
                </m:r>
              </m:den>
            </m:f>
          </m:sup>
        </m:sSup>
      </m:oMath>
      <w:r>
        <w:rPr/>
        <w:tab/>
      </w:r>
      <w:r>
        <w:rPr/>
        <w:t>(25)</w:t>
      </w:r>
    </w:p>
    <w:p>
      <w:pPr>
        <w:pStyle w:val="Normal"/>
        <w:numPr>
          <w:ilvl w:val="0"/>
          <w:numId w:val="27"/>
        </w:numPr>
        <w:rPr/>
      </w:pPr>
      <w:r>
        <w:rPr>
          <w:b/>
          <w:bCs/>
        </w:rPr>
        <w:t>Standard deviations</w:t>
      </w:r>
      <w:r>
        <w:rPr/>
        <w:t xml:space="preserve"> </w:t>
      </w:r>
      <w:r>
        <w:rPr/>
      </w:r>
      <m:oMath xmlns:m="http://schemas.openxmlformats.org/officeDocument/2006/math">
        <m:sSub>
          <m:e>
            <m:r>
              <m:t xml:space="preserve">σ</m:t>
            </m:r>
          </m:e>
          <m:sub>
            <m:r>
              <m:rPr>
                <m:lit/>
                <m:nor/>
              </m:rPr>
              <m:t xml:space="preserve">Precision</m:t>
            </m:r>
          </m:sub>
        </m:sSub>
      </m:oMath>
      <w:r>
        <w:rPr/>
        <w:t xml:space="preserve">, </w:t>
      </w:r>
      <w:r>
        <w:rPr/>
      </w:r>
      <m:oMath xmlns:m="http://schemas.openxmlformats.org/officeDocument/2006/math">
        <m:sSub>
          <m:e>
            <m:r>
              <m:t xml:space="preserve">σ</m:t>
            </m:r>
          </m:e>
          <m:sub>
            <m:r>
              <m:rPr>
                <m:lit/>
                <m:nor/>
              </m:rPr>
              <m:t xml:space="preserve">Recall</m:t>
            </m:r>
          </m:sub>
        </m:sSub>
      </m:oMath>
      <w:r>
        <w:rPr/>
        <w:t xml:space="preserve">, </w:t>
      </w:r>
      <w:r>
        <w:rPr/>
      </w:r>
      <m:oMath xmlns:m="http://schemas.openxmlformats.org/officeDocument/2006/math">
        <m:sSub>
          <m:e>
            <m:r>
              <m:t xml:space="preserve">σ</m:t>
            </m:r>
          </m:e>
          <m:sub>
            <m:sSub>
              <m:e>
                <m:r>
                  <m:t xml:space="preserve">F</m:t>
                </m:r>
              </m:e>
              <m:sub>
                <m:r>
                  <m:t xml:space="preserve">1</m:t>
                </m:r>
              </m:sub>
            </m:sSub>
          </m:sub>
        </m:sSub>
      </m:oMath>
      <w:r>
        <w:rPr/>
        <w:t>: Inter-class consistency measures; lower values indicate more uniform performance across fault categories.</w:t>
      </w:r>
    </w:p>
    <w:p>
      <w:pPr>
        <w:pStyle w:val="FirstParagraph"/>
        <w:rPr/>
      </w:pPr>
      <w:r>
        <w:rPr/>
        <w:t xml:space="preserve">All metrics are reported as mean </w:t>
      </w:r>
      <w:r>
        <w:rPr/>
      </w:r>
      <m:oMath xmlns:m="http://schemas.openxmlformats.org/officeDocument/2006/math">
        <m:r>
          <m:t xml:space="preserve">±</m:t>
        </m:r>
      </m:oMath>
      <w:r>
        <w:rPr/>
        <w:t xml:space="preserve"> standard deviation over five-fold stratified cross-validation unless otherwise noted.</w:t>
      </w:r>
      <w:bookmarkEnd w:id="23"/>
    </w:p>
    <w:p>
      <w:pPr>
        <w:pStyle w:val="Heading2"/>
        <w:rPr/>
      </w:pPr>
      <w:bookmarkStart w:id="24" w:name="Xb0d8745366844df810064adcb7c50697d769b50"/>
      <w:r>
        <w:rPr/>
        <w:t>Experiment 1: GASF vs. GADF Feature Comparison</w:t>
      </w:r>
    </w:p>
    <w:p>
      <w:pPr>
        <w:pStyle w:val="FirstParagraph"/>
        <w:rPr/>
      </w:pPr>
      <w:r>
        <w:rPr/>
        <w:t>We first compare the two GAF variants, i.e., GASF and GADF, as input representations under identical conditions (AlexNet-SE backbone, with and without PCNN enhancement). The results are presented in Table </w:t>
      </w:r>
      <w:r>
        <w:rPr>
          <w:rStyle w:val="InternetLink"/>
        </w:rPr>
        <w:t>4</w:t>
      </w:r>
      <w:r>
        <w:rPr/>
        <w:t xml:space="preserve">. Mel-GADF features consistently outperform their Mel-GASF counterparts across all metrics. Without PCNN, Mel-GADF achieves an accuracy of 93.94% versus 92.42% for Mel-GASF, with a notably higher </w:t>
      </w:r>
      <w:r>
        <w:rPr/>
      </w:r>
      <m:oMath xmlns:m="http://schemas.openxmlformats.org/officeDocument/2006/math">
        <m:sSub>
          <m:e>
            <m:r>
              <m:t xml:space="preserve">G</m:t>
            </m:r>
          </m:e>
          <m:sub>
            <m:r>
              <m:rPr>
                <m:lit/>
                <m:nor/>
              </m:rPr>
              <m:t xml:space="preserve">mean</m:t>
            </m:r>
          </m:sub>
        </m:sSub>
      </m:oMath>
      <w:r>
        <w:rPr/>
        <w:t xml:space="preserve"> (0.9587 vs. 0.8503), indicating more balanced per-class performance. The </w:t>
      </w:r>
      <w:r>
        <w:rPr/>
      </w:r>
      <m:oMath xmlns:m="http://schemas.openxmlformats.org/officeDocument/2006/math">
        <m:sSub>
          <m:e>
            <m:r>
              <m:t xml:space="preserve">F</m:t>
            </m:r>
          </m:e>
          <m:sub>
            <m:r>
              <m:t xml:space="preserve">1</m:t>
            </m:r>
          </m:sub>
        </m:sSub>
      </m:oMath>
      <w:r>
        <w:rPr/>
        <w:t xml:space="preserve"> standard deviation for Mel-GADF is substantially lower (</w:t>
      </w:r>
      <w:r>
        <w:rPr/>
      </w:r>
      <m:oMath xmlns:m="http://schemas.openxmlformats.org/officeDocument/2006/math">
        <m:sSub>
          <m:e>
            <m:r>
              <m:t xml:space="preserve">σ</m:t>
            </m:r>
          </m:e>
          <m:sub>
            <m:sSub>
              <m:e>
                <m:r>
                  <m:t xml:space="preserve">F</m:t>
                </m:r>
              </m:e>
              <m:sub>
                <m:r>
                  <m:t xml:space="preserve">1</m:t>
                </m:r>
              </m:sub>
            </m:sSub>
          </m:sub>
        </m:sSub>
        <m:r>
          <m:t xml:space="preserve">=</m:t>
        </m:r>
        <m:r>
          <m:t xml:space="preserve">0.0434</m:t>
        </m:r>
      </m:oMath>
      <w:r>
        <w:rPr/>
        <w:t xml:space="preserve"> vs. 0.1490), confirming greater classification stability across fault types. With PCNN enhancement, both feature types improve considerably, reaching 96.97% accuracy. The superiority of GADF over GASF is attributed to its difference-based encoding (</w:t>
      </w:r>
      <w:r>
        <w:rPr/>
      </w:r>
      <m:oMath xmlns:m="http://schemas.openxmlformats.org/officeDocument/2006/math">
        <m:r>
          <m:t xml:space="preserve">sin</m:t>
        </m:r>
        <m:d>
          <m:dPr>
            <m:begChr m:val="("/>
            <m:endChr m:val=")"/>
          </m:dPr>
          <m:e>
            <m:sSub>
              <m:e>
                <m:r>
                  <m:t xml:space="preserve">ϕ</m:t>
                </m:r>
              </m:e>
              <m:sub>
                <m:r>
                  <m:t xml:space="preserve">i</m:t>
                </m:r>
              </m:sub>
            </m:sSub>
            <m:r>
              <m:t xml:space="preserve">−</m:t>
            </m:r>
            <m:sSub>
              <m:e>
                <m:r>
                  <m:t xml:space="preserve">ϕ</m:t>
                </m:r>
              </m:e>
              <m:sub>
                <m:r>
                  <m:t xml:space="preserve">j</m:t>
                </m:r>
              </m:sub>
            </m:sSub>
          </m:e>
        </m:d>
      </m:oMath>
      <w:r>
        <w:rPr/>
        <w:t>), which captures phase deviations more sensitively than the summation-based GASF (</w:t>
      </w:r>
      <w:r>
        <w:rPr/>
      </w:r>
      <m:oMath xmlns:m="http://schemas.openxmlformats.org/officeDocument/2006/math">
        <m:r>
          <m:t xml:space="preserve">cos</m:t>
        </m:r>
        <m:d>
          <m:dPr>
            <m:begChr m:val="("/>
            <m:endChr m:val=")"/>
          </m:dPr>
          <m:e>
            <m:sSub>
              <m:e>
                <m:r>
                  <m:t xml:space="preserve">ϕ</m:t>
                </m:r>
              </m:e>
              <m:sub>
                <m:r>
                  <m:t xml:space="preserve">i</m:t>
                </m:r>
              </m:sub>
            </m:sSub>
            <m:r>
              <m:t xml:space="preserve">+</m:t>
            </m:r>
            <m:sSub>
              <m:e>
                <m:r>
                  <m:t xml:space="preserve">ϕ</m:t>
                </m:r>
              </m:e>
              <m:sub>
                <m:r>
                  <m:t xml:space="preserve">j</m:t>
                </m:r>
              </m:sub>
            </m:sSub>
          </m:e>
        </m:d>
      </m:oMath>
      <w:r>
        <w:rPr/>
        <w:t>), making it better suited for detecting transient fault signatures. All subsequent experiments therefore employ the Mel-GADF-PCNN configuration.</w:t>
      </w:r>
    </w:p>
    <w:p>
      <w:pPr>
        <w:pStyle w:val="TableCaption"/>
        <w:rPr/>
      </w:pPr>
      <w:r>
        <w:rPr>
          <w:rStyle w:val="InternetLink"/>
          <w:color w:val="auto"/>
        </w:rPr>
        <w:t>Table</w:t>
      </w:r>
      <w:r>
        <w:rPr>
          <w:rStyle w:val="InternetLink"/>
        </w:rPr>
        <w:t> </w:t>
      </w:r>
      <w:r>
        <w:rPr>
          <w:rStyle w:val="InternetLink"/>
        </w:rPr>
        <w:t>4</w:t>
      </w:r>
      <w:r>
        <w:rPr>
          <w:rStyle w:val="InternetLink"/>
        </w:rPr>
        <w:t xml:space="preserve"> </w:t>
      </w:r>
      <w:r>
        <w:rPr/>
        <w:t>F</w:t>
      </w:r>
      <w:bookmarkStart w:id="25" w:name="tab4"/>
      <w:r>
        <w:rPr/>
        <w:t>eature Comparison: GASF vs. GADF with and without PCNN (AlexNet-SE Backbone)</w:t>
      </w:r>
    </w:p>
    <w:tbl>
      <w:tblPr>
        <w:tblStyle w:val="Table"/>
        <w:tblW w:w="792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PCNN</w:t>
            </w:r>
          </w:p>
        </w:tc>
        <w:tc>
          <w:tcPr>
            <w:tcW w:w="5281" w:type="dxa"/>
            <w:gridSpan w:val="6"/>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Evaluation Metrics</w:t>
            </w:r>
          </w:p>
        </w:tc>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Acc(%)</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b>
                <m:e>
                  <m:r>
                    <m:t xml:space="preserve">P</m:t>
                  </m:r>
                </m:e>
                <m:sub>
                  <m:r>
                    <m:t xml:space="preserve">w</m:t>
                  </m:r>
                </m:sub>
              </m:sSub>
            </m:oMath>
            <w:r>
              <w:rPr>
                <w:rFonts w:eastAsia="Cambria" w:cs=""/>
                <w:kern w:val="0"/>
                <w:sz w:val="24"/>
                <w:szCs w:val="24"/>
                <w:lang w:val="en-US" w:eastAsia="en-US" w:bidi="ar-SA"/>
              </w:rPr>
              <w:t>(%)</w:t>
            </w:r>
          </w:p>
        </w:tc>
        <w:tc>
          <w:tcPr>
            <w:tcW w:w="88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Sup>
                  <m:e>
                    <m:r>
                      <m:t xml:space="preserve">F</m:t>
                    </m:r>
                  </m:e>
                  <m:sub>
                    <m:r>
                      <m:t xml:space="preserve">1</m:t>
                    </m:r>
                  </m:sub>
                  <m:sup>
                    <m:r>
                      <m:t xml:space="preserve">w</m:t>
                    </m:r>
                  </m:sup>
                </m:sSubSup>
              </m:oMath>
            </m:oMathPara>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G</m:t>
                    </m:r>
                  </m:e>
                  <m:sub>
                    <m:r>
                      <m:rPr>
                        <m:lit/>
                        <m:nor/>
                      </m:rPr>
                      <m:t xml:space="preserve">mean</m:t>
                    </m:r>
                  </m:sub>
                </m:sSub>
              </m:oMath>
            </m:oMathPara>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r>
                      <m:t xml:space="preserve">P</m:t>
                    </m:r>
                  </m:sub>
                </m:sSub>
              </m:oMath>
            </m:oMathPara>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r>
                      <m:t xml:space="preserve">R</m:t>
                    </m:r>
                  </m:sub>
                </m:sSub>
              </m:oMath>
            </m:oMathPara>
          </w:p>
        </w:tc>
        <w:tc>
          <w:tcPr>
            <w:tcW w:w="8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sSub>
                      <m:e>
                        <m:r>
                          <m:t xml:space="preserve">F</m:t>
                        </m:r>
                      </m:e>
                      <m:sub>
                        <m:r>
                          <m:t xml:space="preserve">1</m:t>
                        </m:r>
                      </m:sub>
                    </m:sSub>
                  </m:sub>
                </m:sSub>
              </m:oMath>
            </m:oMathPara>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Mel-GADF</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93.94</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94.18</w:t>
            </w:r>
          </w:p>
        </w:tc>
        <w:tc>
          <w:tcPr>
            <w:tcW w:w="88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0.9392</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0.9587</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0.0591</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0.0540</w:t>
            </w:r>
          </w:p>
        </w:tc>
        <w:tc>
          <w:tcPr>
            <w:tcW w:w="8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0.0434</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Mel-GASF</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92.42</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93.73</w:t>
            </w:r>
          </w:p>
        </w:tc>
        <w:tc>
          <w:tcPr>
            <w:tcW w:w="88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0.9132</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0.8503</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0.0690</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0.0222</w:t>
            </w:r>
          </w:p>
        </w:tc>
        <w:tc>
          <w:tcPr>
            <w:tcW w:w="8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0.1490</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Mel-GADF</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PCNN</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96.97</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97.20</w:t>
            </w:r>
          </w:p>
        </w:tc>
        <w:tc>
          <w:tcPr>
            <w:tcW w:w="88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0.9684</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0.9510</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0.0308</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0.0889</w:t>
            </w:r>
          </w:p>
        </w:tc>
        <w:tc>
          <w:tcPr>
            <w:tcW w:w="8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0.0485</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Mel-GASF</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PCNN</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96.97</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97.22</w:t>
            </w:r>
          </w:p>
        </w:tc>
        <w:tc>
          <w:tcPr>
            <w:tcW w:w="88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0.9693</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0.9736</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0.0333</w:t>
            </w:r>
          </w:p>
        </w:tc>
        <w:tc>
          <w:tcPr>
            <w:tcW w:w="8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0.0500</w:t>
            </w:r>
          </w:p>
        </w:tc>
        <w:tc>
          <w:tcPr>
            <w:tcW w:w="879" w:type="dxa"/>
            <w:tcBorders/>
          </w:tcPr>
          <w:p>
            <w:pPr>
              <w:pStyle w:val="Compact"/>
              <w:widowControl/>
              <w:spacing w:before="36" w:after="36"/>
              <w:jc w:val="center"/>
              <w:rPr>
                <w:rFonts w:ascii="Cambria" w:hAnsi="Cambria" w:eastAsia="Cambria" w:cs=""/>
                <w:kern w:val="0"/>
                <w:sz w:val="24"/>
                <w:szCs w:val="24"/>
                <w:lang w:val="en-US" w:eastAsia="en-US" w:bidi="ar-SA"/>
              </w:rPr>
            </w:pPr>
            <w:bookmarkStart w:id="26" w:name="Xb0d8745366844df810064adcb7c50697d769b50"/>
            <w:r>
              <w:rPr>
                <w:rFonts w:eastAsia="Cambria" w:cs=""/>
                <w:kern w:val="0"/>
                <w:sz w:val="24"/>
                <w:szCs w:val="24"/>
                <w:lang w:val="en-US" w:eastAsia="en-US" w:bidi="ar-SA"/>
              </w:rPr>
              <w:t>0.0280</w:t>
            </w:r>
            <w:bookmarkEnd w:id="26"/>
            <w:bookmarkEnd w:id="25"/>
          </w:p>
        </w:tc>
      </w:tr>
    </w:tbl>
    <w:p>
      <w:pPr>
        <w:pStyle w:val="Heading2"/>
        <w:rPr/>
      </w:pPr>
      <w:r>
        <w:rPr/>
        <w:t>Experiment 2: Backbone Architecture Comparison with PINN</w:t>
      </w:r>
    </w:p>
    <w:p>
      <w:pPr>
        <w:pStyle w:val="FirstParagraph"/>
        <w:rPr/>
      </w:pPr>
      <w:r>
        <w:rPr/>
        <w:t>Table </w:t>
      </w:r>
      <w:r>
        <w:rPr>
          <w:rStyle w:val="InternetLink"/>
        </w:rPr>
        <w:t>5</w:t>
      </w:r>
      <w:r>
        <w:rPr/>
        <w:t xml:space="preserve"> reports the performance of four backbones integrated with the physics-informed framework on Mel-GADF-PCNN input. AlexNet-SE achieves the highest performance (98.48% accuracy, </w:t>
      </w:r>
      <w:r>
        <w:rPr/>
      </w:r>
      <m:oMath xmlns:m="http://schemas.openxmlformats.org/officeDocument/2006/math">
        <m:sSubSup>
          <m:e>
            <m:r>
              <m:t xml:space="preserve">F</m:t>
            </m:r>
          </m:e>
          <m:sub>
            <m:r>
              <m:t xml:space="preserve">1</m:t>
            </m:r>
          </m:sub>
          <m:sup>
            <m:r>
              <m:t xml:space="preserve">w</m:t>
            </m:r>
          </m:sup>
        </m:sSubSup>
        <m:r>
          <m:t xml:space="preserve">=</m:t>
        </m:r>
        <m:r>
          <m:t xml:space="preserve">0.9849</m:t>
        </m:r>
      </m:oMath>
      <w:r>
        <w:rPr/>
        <w:t xml:space="preserve">, </w:t>
      </w:r>
      <w:r>
        <w:rPr/>
      </w:r>
      <m:oMath xmlns:m="http://schemas.openxmlformats.org/officeDocument/2006/math">
        <m:sSub>
          <m:e>
            <m:r>
              <m:t xml:space="preserve">G</m:t>
            </m:r>
          </m:e>
          <m:sub>
            <m:r>
              <m:rPr>
                <m:lit/>
                <m:nor/>
              </m:rPr>
              <m:t xml:space="preserve">mean</m:t>
            </m:r>
          </m:sub>
        </m:sSub>
        <m:r>
          <m:t xml:space="preserve">=</m:t>
        </m:r>
        <m:r>
          <m:t xml:space="preserve">0.9907</m:t>
        </m:r>
      </m:oMath>
      <w:r>
        <w:rPr/>
        <w:t>) with the lowest inter-class variance (</w:t>
      </w:r>
      <w:r>
        <w:rPr/>
      </w:r>
      <m:oMath xmlns:m="http://schemas.openxmlformats.org/officeDocument/2006/math">
        <m:sSub>
          <m:e>
            <m:r>
              <m:t xml:space="preserve">σ</m:t>
            </m:r>
          </m:e>
          <m:sub>
            <m:sSub>
              <m:e>
                <m:r>
                  <m:t xml:space="preserve">F</m:t>
                </m:r>
              </m:e>
              <m:sub>
                <m:r>
                  <m:t xml:space="preserve">1</m:t>
                </m:r>
              </m:sub>
            </m:sSub>
          </m:sub>
        </m:sSub>
        <m:r>
          <m:t xml:space="preserve">=</m:t>
        </m:r>
        <m:r>
          <m:t xml:space="preserve">0.0133</m:t>
        </m:r>
      </m:oMath>
      <w:r>
        <w:rPr/>
        <w:t>). ResNet-18 and ConvNeXt-T show competitive but lower performance (both 95.45%), while LeNet underperforms significantly (72.24%). The confusion matrices in Fig. </w:t>
      </w:r>
      <w:hyperlink w:anchor="fig11">
        <w:r>
          <w:rPr>
            <w:rStyle w:val="InternetLink"/>
          </w:rPr>
          <w:t>10</w:t>
        </w:r>
      </w:hyperlink>
      <w:r>
        <w:rPr/>
        <w:t xml:space="preserve"> confirm that AlexNet-SE correctly classifies nearly all test samples, with only a single misclassification in the N0 category.</w:t>
      </w:r>
    </w:p>
    <w:p>
      <w:pPr>
        <w:pStyle w:val="TableCaption"/>
        <w:rPr/>
      </w:pPr>
      <w:r>
        <w:rPr/>
        <w:t>Table </w:t>
      </w:r>
      <w:r>
        <w:rPr>
          <w:rStyle w:val="InternetLink"/>
        </w:rPr>
        <w:t xml:space="preserve">5 </w:t>
      </w:r>
      <w:bookmarkStart w:id="27" w:name="tab5"/>
      <w:r>
        <w:rPr/>
        <w:t>Backbone Architecture Comparison with Physics-Informed Regularization (Mel-GADF-PCNN Input)</w:t>
      </w:r>
    </w:p>
    <w:tbl>
      <w:tblPr>
        <w:tblStyle w:val="Table"/>
        <w:tblW w:w="792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Backbone</w:t>
            </w:r>
          </w:p>
        </w:tc>
        <w:tc>
          <w:tcPr>
            <w:tcW w:w="5940" w:type="dxa"/>
            <w:gridSpan w:val="6"/>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Evaluation Metrics</w:t>
            </w:r>
          </w:p>
        </w:tc>
        <w:tc>
          <w:tcPr>
            <w:tcW w:w="98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Acc(%)</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sSub>
                <m:e>
                  <m:r>
                    <m:t xml:space="preserve">P</m:t>
                  </m:r>
                </m:e>
                <m:sub>
                  <m:r>
                    <m:t xml:space="preserve">w</m:t>
                  </m:r>
                </m:sub>
              </m:sSub>
            </m:oMath>
            <w:r>
              <w:rPr>
                <w:rFonts w:eastAsia="Cambria" w:cs=""/>
                <w:kern w:val="0"/>
                <w:sz w:val="24"/>
                <w:szCs w:val="24"/>
                <w:lang w:val="en-US" w:eastAsia="en-US" w:bidi="ar-SA"/>
              </w:rPr>
              <w:t>(%)</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Sup>
                  <m:e>
                    <m:r>
                      <m:t xml:space="preserve">F</m:t>
                    </m:r>
                  </m:e>
                  <m:sub>
                    <m:r>
                      <m:t xml:space="preserve">1</m:t>
                    </m:r>
                  </m:sub>
                  <m:sup>
                    <m:r>
                      <m:t xml:space="preserve">w</m:t>
                    </m:r>
                  </m:sup>
                </m:sSubSup>
              </m:oMath>
            </m:oMathPara>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G</m:t>
                    </m:r>
                  </m:e>
                  <m:sub>
                    <m:r>
                      <m:rPr>
                        <m:lit/>
                        <m:nor/>
                      </m:rPr>
                      <m:t xml:space="preserve">mean</m:t>
                    </m:r>
                  </m:sub>
                </m:sSub>
              </m:oMath>
            </m:oMathPara>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r>
                      <m:t xml:space="preserve">P</m:t>
                    </m:r>
                  </m:sub>
                </m:sSub>
              </m:oMath>
            </m:oMathPara>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r>
                      <m:t xml:space="preserve">R</m:t>
                    </m:r>
                  </m:sub>
                </m:sSub>
              </m:oMath>
            </m:oMathPara>
          </w:p>
        </w:tc>
        <w:tc>
          <w:tcPr>
            <w:tcW w:w="98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sSub>
                      <m:e>
                        <m:r>
                          <m:t xml:space="preserve">F</m:t>
                        </m:r>
                      </m:e>
                      <m:sub>
                        <m:r>
                          <m:t xml:space="preserve">1</m:t>
                        </m:r>
                      </m:sub>
                    </m:sSub>
                  </m:sub>
                </m:sSub>
              </m:oMath>
            </m:oMathPara>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PINN + LeNet</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72.24</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83.08</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0.6718</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0.5635</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0.1944</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0.3676</w:t>
            </w:r>
          </w:p>
        </w:tc>
        <w:tc>
          <w:tcPr>
            <w:tcW w:w="98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0.3226</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PINN + ResNet-18</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95.45</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96.17</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0.9548</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0.9711</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0.0632</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0.0545</w:t>
            </w:r>
          </w:p>
        </w:tc>
        <w:tc>
          <w:tcPr>
            <w:tcW w:w="98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0.0391</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PINN + ConvNeXt-T</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95.45</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0.9536</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0.9593</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0.0480</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0.0750</w:t>
            </w:r>
          </w:p>
        </w:tc>
        <w:tc>
          <w:tcPr>
            <w:tcW w:w="98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0.0428</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PINN + AlexNet-SE</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96.48</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96.57</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0.9649</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0.9707</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0.0235</w:t>
            </w:r>
          </w:p>
        </w:tc>
        <w:tc>
          <w:tcPr>
            <w:tcW w:w="99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0.0182</w:t>
            </w:r>
          </w:p>
        </w:tc>
        <w:tc>
          <w:tcPr>
            <w:tcW w:w="98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bCs/>
                <w:kern w:val="0"/>
                <w:sz w:val="24"/>
                <w:szCs w:val="24"/>
                <w:lang w:val="en-US" w:eastAsia="en-US" w:bidi="ar-SA"/>
              </w:rPr>
              <w:t>0.0133</w:t>
            </w:r>
            <w:bookmarkEnd w:id="27"/>
          </w:p>
        </w:tc>
      </w:tr>
    </w:tbl>
    <w:p>
      <w:pPr>
        <w:pStyle w:val="ImageCaption"/>
        <w:rPr/>
      </w:pPr>
      <w:r>
        <w:rPr/>
      </w:r>
    </w:p>
    <w:tbl>
      <w:tblPr>
        <w:tblW w:w="5000" w:type="pct"/>
        <w:jc w:val="start"/>
        <w:tblInd w:w="55" w:type="dxa"/>
        <w:tblLayout w:type="fixed"/>
        <w:tblCellMar>
          <w:top w:w="55" w:type="dxa"/>
          <w:start w:w="55" w:type="dxa"/>
          <w:bottom w:w="55" w:type="dxa"/>
          <w:end w:w="55" w:type="dxa"/>
        </w:tblCellMar>
      </w:tblPr>
      <w:tblGrid>
        <w:gridCol w:w="4680"/>
        <w:gridCol w:w="4680"/>
      </w:tblGrid>
      <w:tr>
        <w:trPr/>
        <w:tc>
          <w:tcPr>
            <w:tcW w:w="4680" w:type="dxa"/>
            <w:tcBorders/>
          </w:tcPr>
          <w:p>
            <w:pPr>
              <w:pStyle w:val="TableContents"/>
              <w:rPr/>
            </w:pPr>
            <w:r>
              <w:rPr/>
              <w:drawing>
                <wp:inline distT="0" distB="0" distL="0" distR="0">
                  <wp:extent cx="2787015" cy="2090420"/>
                  <wp:effectExtent l="0" t="0" r="0" b="0"/>
                  <wp:docPr id="30" name="Image6"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 descr="image" title=""/>
                          <pic:cNvPicPr>
                            <a:picLocks noChangeAspect="1" noChangeArrowheads="1"/>
                          </pic:cNvPicPr>
                        </pic:nvPicPr>
                        <pic:blipFill>
                          <a:blip r:embed="rId31"/>
                          <a:stretch>
                            <a:fillRect/>
                          </a:stretch>
                        </pic:blipFill>
                        <pic:spPr bwMode="auto">
                          <a:xfrm>
                            <a:off x="0" y="0"/>
                            <a:ext cx="2787015" cy="2090420"/>
                          </a:xfrm>
                          <a:prstGeom prst="rect">
                            <a:avLst/>
                          </a:prstGeom>
                        </pic:spPr>
                      </pic:pic>
                    </a:graphicData>
                  </a:graphic>
                </wp:inline>
              </w:drawing>
            </w:r>
          </w:p>
          <w:p>
            <w:pPr>
              <w:pStyle w:val="ImageCaption"/>
              <w:widowControl w:val="false"/>
              <w:spacing w:before="0" w:after="120"/>
              <w:jc w:val="center"/>
              <w:rPr/>
            </w:pPr>
            <w:r>
              <w:rPr/>
              <w:t>(</w:t>
            </w:r>
            <w:r>
              <w:rPr/>
              <w:t>a)</w:t>
            </w:r>
          </w:p>
        </w:tc>
        <w:tc>
          <w:tcPr>
            <w:tcW w:w="4680" w:type="dxa"/>
            <w:tcBorders/>
          </w:tcPr>
          <w:p>
            <w:pPr>
              <w:pStyle w:val="TableContents"/>
              <w:rPr/>
            </w:pPr>
            <w:r>
              <w:rPr/>
              <w:drawing>
                <wp:inline distT="0" distB="0" distL="0" distR="0">
                  <wp:extent cx="2787015" cy="2090420"/>
                  <wp:effectExtent l="0" t="0" r="0" b="0"/>
                  <wp:docPr id="31" name="Image7"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descr="image" title=""/>
                          <pic:cNvPicPr>
                            <a:picLocks noChangeAspect="1" noChangeArrowheads="1"/>
                          </pic:cNvPicPr>
                        </pic:nvPicPr>
                        <pic:blipFill>
                          <a:blip r:embed="rId32"/>
                          <a:stretch>
                            <a:fillRect/>
                          </a:stretch>
                        </pic:blipFill>
                        <pic:spPr bwMode="auto">
                          <a:xfrm>
                            <a:off x="0" y="0"/>
                            <a:ext cx="2787015" cy="2090420"/>
                          </a:xfrm>
                          <a:prstGeom prst="rect">
                            <a:avLst/>
                          </a:prstGeom>
                        </pic:spPr>
                      </pic:pic>
                    </a:graphicData>
                  </a:graphic>
                </wp:inline>
              </w:drawing>
            </w:r>
          </w:p>
          <w:p>
            <w:pPr>
              <w:pStyle w:val="ImageCaption"/>
              <w:widowControl w:val="false"/>
              <w:spacing w:before="0" w:after="120"/>
              <w:jc w:val="center"/>
              <w:rPr/>
            </w:pPr>
            <w:r>
              <w:rPr/>
              <w:t>(</w:t>
            </w:r>
            <w:r>
              <w:rPr/>
              <w:t>b</w:t>
            </w:r>
            <w:r>
              <w:rPr/>
              <w:t>)</w:t>
            </w:r>
          </w:p>
        </w:tc>
      </w:tr>
      <w:tr>
        <w:trPr/>
        <w:tc>
          <w:tcPr>
            <w:tcW w:w="4680" w:type="dxa"/>
            <w:tcBorders/>
          </w:tcPr>
          <w:p>
            <w:pPr>
              <w:pStyle w:val="TableContents"/>
              <w:rPr/>
            </w:pPr>
            <w:r>
              <w:rPr/>
              <w:drawing>
                <wp:inline distT="0" distB="0" distL="0" distR="0">
                  <wp:extent cx="2787015" cy="2090420"/>
                  <wp:effectExtent l="0" t="0" r="0" b="0"/>
                  <wp:docPr id="32" name="Image22"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2" descr="image" title=""/>
                          <pic:cNvPicPr>
                            <a:picLocks noChangeAspect="1" noChangeArrowheads="1"/>
                          </pic:cNvPicPr>
                        </pic:nvPicPr>
                        <pic:blipFill>
                          <a:blip r:embed="rId33"/>
                          <a:stretch>
                            <a:fillRect/>
                          </a:stretch>
                        </pic:blipFill>
                        <pic:spPr bwMode="auto">
                          <a:xfrm>
                            <a:off x="0" y="0"/>
                            <a:ext cx="2787015" cy="2090420"/>
                          </a:xfrm>
                          <a:prstGeom prst="rect">
                            <a:avLst/>
                          </a:prstGeom>
                        </pic:spPr>
                      </pic:pic>
                    </a:graphicData>
                  </a:graphic>
                </wp:inline>
              </w:drawing>
            </w:r>
          </w:p>
          <w:p>
            <w:pPr>
              <w:pStyle w:val="ImageCaption"/>
              <w:widowControl w:val="false"/>
              <w:spacing w:before="0" w:after="120"/>
              <w:jc w:val="center"/>
              <w:rPr/>
            </w:pPr>
            <w:r>
              <w:rPr/>
              <w:t>(</w:t>
            </w:r>
            <w:r>
              <w:rPr/>
              <w:t>c</w:t>
            </w:r>
            <w:r>
              <w:rPr/>
              <w:t>)</w:t>
            </w:r>
          </w:p>
        </w:tc>
        <w:tc>
          <w:tcPr>
            <w:tcW w:w="4680" w:type="dxa"/>
            <w:tcBorders/>
          </w:tcPr>
          <w:p>
            <w:pPr>
              <w:pStyle w:val="TableContents"/>
              <w:rPr/>
            </w:pPr>
            <w:r>
              <w:rPr/>
              <w:drawing>
                <wp:inline distT="0" distB="0" distL="0" distR="0">
                  <wp:extent cx="2787015" cy="2090420"/>
                  <wp:effectExtent l="0" t="0" r="0" b="0"/>
                  <wp:docPr id="33" name="Image37"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descr="image" title=""/>
                          <pic:cNvPicPr>
                            <a:picLocks noChangeAspect="1" noChangeArrowheads="1"/>
                          </pic:cNvPicPr>
                        </pic:nvPicPr>
                        <pic:blipFill>
                          <a:blip r:embed="rId34"/>
                          <a:stretch>
                            <a:fillRect/>
                          </a:stretch>
                        </pic:blipFill>
                        <pic:spPr bwMode="auto">
                          <a:xfrm>
                            <a:off x="0" y="0"/>
                            <a:ext cx="2787015" cy="2090420"/>
                          </a:xfrm>
                          <a:prstGeom prst="rect">
                            <a:avLst/>
                          </a:prstGeom>
                        </pic:spPr>
                      </pic:pic>
                    </a:graphicData>
                  </a:graphic>
                </wp:inline>
              </w:drawing>
            </w:r>
          </w:p>
          <w:p>
            <w:pPr>
              <w:pStyle w:val="ImageCaption"/>
              <w:widowControl w:val="false"/>
              <w:spacing w:before="0" w:after="120"/>
              <w:jc w:val="center"/>
              <w:rPr/>
            </w:pPr>
            <w:r>
              <w:rPr/>
              <w:t>(</w:t>
            </w:r>
            <w:r>
              <w:rPr/>
              <w:t>d</w:t>
            </w:r>
            <w:r>
              <w:rPr/>
              <w:t>)</w:t>
            </w:r>
          </w:p>
        </w:tc>
      </w:tr>
    </w:tbl>
    <w:p>
      <w:pPr>
        <w:pStyle w:val="ImageCaption"/>
        <w:rPr/>
      </w:pPr>
      <w:r>
        <w:rPr/>
      </w:r>
    </w:p>
    <w:p>
      <w:pPr>
        <w:pStyle w:val="ImageCaption"/>
        <w:rPr/>
      </w:pPr>
      <w:r>
        <w:rPr/>
        <w:t>Fig. </w:t>
      </w:r>
      <w:hyperlink w:anchor="fig11">
        <w:r>
          <w:rPr>
            <w:rStyle w:val="InternetLink"/>
          </w:rPr>
          <w:t>10</w:t>
        </w:r>
      </w:hyperlink>
      <w:r>
        <w:rPr>
          <w:rStyle w:val="InternetLink"/>
        </w:rPr>
        <w:t xml:space="preserve"> </w:t>
      </w:r>
      <w:r>
        <w:rPr/>
        <w:t>Confusion matrices: (a) LeNet, (b) ResNet-18, (c) ConvNeXt-T, (d) AlexNet-SE. N0–Normal, N1–Short-circuit, N2–DC-bias, N3–Looseness, N4–Partial discharge.</w:t>
      </w:r>
    </w:p>
    <w:p>
      <w:pPr>
        <w:pStyle w:val="Heading2"/>
        <w:rPr/>
      </w:pPr>
      <w:bookmarkStart w:id="28" w:name="Xf28a00751276006d72f1bdc0963ad21b15525d1"/>
      <w:r>
        <w:rPr/>
        <w:t>Experiment 3: Component-Wise Ablation Study</w:t>
      </w:r>
    </w:p>
    <w:p>
      <w:pPr>
        <w:pStyle w:val="FirstParagraph"/>
        <w:rPr/>
      </w:pPr>
      <w:r>
        <w:rPr/>
        <w:t>To quantify the individual contribution of each proposed component, a systematic ablation study was conducted under five-fold stratified cross-validation. Table </w:t>
      </w:r>
      <w:r>
        <w:rPr>
          <w:rStyle w:val="InternetLink"/>
        </w:rPr>
        <w:t>6</w:t>
      </w:r>
      <w:r>
        <w:rPr/>
        <w:t xml:space="preserve"> presents the results for five incremental variants:</w:t>
      </w:r>
    </w:p>
    <w:p>
      <w:pPr>
        <w:pStyle w:val="Normal"/>
        <w:numPr>
          <w:ilvl w:val="0"/>
          <w:numId w:val="28"/>
        </w:numPr>
        <w:rPr/>
      </w:pPr>
      <w:r>
        <w:rPr>
          <w:b/>
          <w:bCs/>
        </w:rPr>
        <w:t>SE attention</w:t>
      </w:r>
      <w:r>
        <w:rPr/>
        <w:t xml:space="preserve"> contributes </w:t>
      </w:r>
      <w:r>
        <w:rPr/>
      </w:r>
      <m:oMath xmlns:m="http://schemas.openxmlformats.org/officeDocument/2006/math">
        <m:r>
          <m:t xml:space="preserve">+</m:t>
        </m:r>
        <m:r>
          <m:t xml:space="preserve">1.82</m:t>
        </m:r>
        <m:r>
          <m:rPr>
            <m:lit/>
            <m:nor/>
          </m:rPr>
          <m:t xml:space="preserve">%</m:t>
        </m:r>
      </m:oMath>
      <w:r>
        <w:rPr/>
        <w:t xml:space="preserve"> accuracy over vanilla AlexNet, validating channel-wise recalibration.</w:t>
      </w:r>
    </w:p>
    <w:p>
      <w:pPr>
        <w:pStyle w:val="Normal"/>
        <w:numPr>
          <w:ilvl w:val="0"/>
          <w:numId w:val="29"/>
        </w:numPr>
        <w:rPr/>
      </w:pPr>
      <w:r>
        <w:rPr>
          <w:b/>
          <w:bCs/>
        </w:rPr>
        <w:t>PCNN enhancement</w:t>
      </w:r>
      <w:r>
        <w:rPr/>
        <w:t xml:space="preserve"> adds </w:t>
      </w:r>
      <w:r>
        <w:rPr/>
      </w:r>
      <m:oMath xmlns:m="http://schemas.openxmlformats.org/officeDocument/2006/math">
        <m:r>
          <m:t xml:space="preserve">+</m:t>
        </m:r>
        <m:r>
          <m:t xml:space="preserve">1.53</m:t>
        </m:r>
        <m:r>
          <m:rPr>
            <m:lit/>
            <m:nor/>
          </m:rPr>
          <m:t xml:space="preserve">%</m:t>
        </m:r>
      </m:oMath>
      <w:r>
        <w:rPr/>
        <w:t>, demonstrating effective noise suppression.</w:t>
      </w:r>
    </w:p>
    <w:p>
      <w:pPr>
        <w:pStyle w:val="Normal"/>
        <w:numPr>
          <w:ilvl w:val="0"/>
          <w:numId w:val="30"/>
        </w:numPr>
        <w:rPr/>
      </w:pPr>
      <w:r>
        <w:rPr>
          <w:b/>
          <w:bCs/>
        </w:rPr>
        <w:t>Physics-informed regularization</w:t>
      </w:r>
      <w:r>
        <w:rPr/>
        <w:t xml:space="preserve"> adds </w:t>
      </w:r>
      <w:r>
        <w:rPr/>
      </w:r>
      <m:oMath xmlns:m="http://schemas.openxmlformats.org/officeDocument/2006/math">
        <m:r>
          <m:t xml:space="preserve">+</m:t>
        </m:r>
        <m:r>
          <m:t xml:space="preserve">1.06</m:t>
        </m:r>
        <m:r>
          <m:rPr>
            <m:lit/>
            <m:nor/>
          </m:rPr>
          <m:t xml:space="preserve">%</m:t>
        </m:r>
      </m:oMath>
      <w:r>
        <w:rPr/>
        <w:t xml:space="preserve">, with the largest </w:t>
      </w:r>
      <w:r>
        <w:rPr/>
      </w:r>
      <m:oMath xmlns:m="http://schemas.openxmlformats.org/officeDocument/2006/math">
        <m:sSub>
          <m:e>
            <m:r>
              <m:t xml:space="preserve">G</m:t>
            </m:r>
          </m:e>
          <m:sub>
            <m:r>
              <m:rPr>
                <m:lit/>
                <m:nor/>
              </m:rPr>
              <m:t xml:space="preserve">mean</m:t>
            </m:r>
          </m:sub>
        </m:sSub>
      </m:oMath>
      <w:r>
        <w:rPr/>
        <w:t xml:space="preserve"> gain (</w:t>
      </w:r>
      <w:r>
        <w:rPr/>
      </w:r>
      <m:oMath xmlns:m="http://schemas.openxmlformats.org/officeDocument/2006/math">
        <m:r>
          <m:t xml:space="preserve">+</m:t>
        </m:r>
        <m:r>
          <m:t xml:space="preserve">0.0219</m:t>
        </m:r>
      </m:oMath>
      <w:r>
        <w:rPr/>
        <w:t>).</w:t>
      </w:r>
    </w:p>
    <w:p>
      <w:pPr>
        <w:pStyle w:val="Normal"/>
        <w:numPr>
          <w:ilvl w:val="0"/>
          <w:numId w:val="31"/>
        </w:numPr>
        <w:rPr/>
      </w:pPr>
      <w:r>
        <w:rPr/>
        <w:t xml:space="preserve">The full model reduces </w:t>
      </w:r>
      <w:r>
        <w:rPr/>
      </w:r>
      <m:oMath xmlns:m="http://schemas.openxmlformats.org/officeDocument/2006/math">
        <m:sSub>
          <m:e>
            <m:r>
              <m:t xml:space="preserve">σ</m:t>
            </m:r>
          </m:e>
          <m:sub>
            <m:sSub>
              <m:e>
                <m:r>
                  <m:t xml:space="preserve">F</m:t>
                </m:r>
              </m:e>
              <m:sub>
                <m:r>
                  <m:t xml:space="preserve">1</m:t>
                </m:r>
              </m:sub>
            </m:sSub>
          </m:sub>
        </m:sSub>
      </m:oMath>
      <w:r>
        <w:rPr/>
        <w:t xml:space="preserve"> by 58% vs. baseline (0.0133 vs. 0.0318).</w:t>
      </w:r>
    </w:p>
    <w:p>
      <w:pPr>
        <w:pStyle w:val="TableCaption"/>
        <w:rPr/>
      </w:pPr>
      <w:r>
        <w:rPr/>
        <w:t>Table </w:t>
      </w:r>
      <w:r>
        <w:rPr>
          <w:rStyle w:val="InternetLink"/>
        </w:rPr>
        <w:t xml:space="preserve">6  </w:t>
      </w:r>
      <w:bookmarkStart w:id="29" w:name="tab6"/>
      <w:r>
        <w:rPr/>
        <w:t xml:space="preserve">Component-Wise Ablation Study (Mean </w:t>
      </w:r>
      <w:r>
        <w:rPr/>
      </w:r>
      <m:oMath xmlns:m="http://schemas.openxmlformats.org/officeDocument/2006/math">
        <m:r>
          <m:t xml:space="preserve">±</m:t>
        </m:r>
      </m:oMath>
      <w:r>
        <w:rPr/>
        <w:t xml:space="preserve"> Std over 5-Fold Cross-Validation)</w:t>
      </w:r>
    </w:p>
    <w:tbl>
      <w:tblPr>
        <w:tblStyle w:val="Table"/>
        <w:tblW w:w="792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Variant</w:t>
            </w:r>
          </w:p>
        </w:tc>
        <w:tc>
          <w:tcPr>
            <w:tcW w:w="6599" w:type="dxa"/>
            <w:gridSpan w:val="5"/>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Metrics (mean </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 xml:space="preserve"> std)</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Acc(%)</w:t>
            </w:r>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Sup>
                  <m:e>
                    <m:r>
                      <m:t xml:space="preserve">F</m:t>
                    </m:r>
                  </m:e>
                  <m:sub>
                    <m:r>
                      <m:t xml:space="preserve">1</m:t>
                    </m:r>
                  </m:sub>
                  <m:sup>
                    <m:r>
                      <m:t xml:space="preserve">w</m:t>
                    </m:r>
                  </m:sup>
                </m:sSubSup>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G</m:t>
                    </m:r>
                  </m:e>
                  <m:sub>
                    <m:r>
                      <m:rPr>
                        <m:lit/>
                        <m:nor/>
                      </m:rPr>
                      <m:t xml:space="preserve">mean</m:t>
                    </m:r>
                  </m:sub>
                </m:sSub>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sSub>
                      <m:e>
                        <m:r>
                          <m:t xml:space="preserve">F</m:t>
                        </m:r>
                      </m:e>
                      <m:sub>
                        <m:r>
                          <m:t xml:space="preserve">1</m:t>
                        </m:r>
                      </m:sub>
                    </m:sSub>
                  </m:sub>
                </m:sSub>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Params (M)</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Baseline AlexNet</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92.93</m:t>
                </m:r>
                <m:r>
                  <m:t xml:space="preserve">±</m:t>
                </m:r>
                <m:r>
                  <m:t xml:space="preserve">1.24</m:t>
                </m:r>
              </m:oMath>
            </m:oMathPara>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0.9281</m:t>
                </m:r>
                <m:r>
                  <m:t xml:space="preserve">±</m:t>
                </m:r>
                <m:r>
                  <m:t xml:space="preserve">0.0131</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0.9264</m:t>
                </m:r>
                <m:r>
                  <m:t xml:space="preserve">±</m:t>
                </m:r>
                <m:r>
                  <m:t xml:space="preserve">0.0152</m:t>
                </m:r>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0.0318</m:t>
                </m:r>
                <m:r>
                  <m:t xml:space="preserve">±</m:t>
                </m:r>
                <m:r>
                  <m:t xml:space="preserve">0.0082</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57.0</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 SE</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94.75</m:t>
                </m:r>
                <m:r>
                  <m:t xml:space="preserve">±</m:t>
                </m:r>
                <m:r>
                  <m:t xml:space="preserve">1.08</m:t>
                </m:r>
              </m:oMath>
            </m:oMathPara>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0.9463</m:t>
                </m:r>
                <m:r>
                  <m:t xml:space="preserve">±</m:t>
                </m:r>
                <m:r>
                  <m:t xml:space="preserve">0.0114</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0.9491</m:t>
                </m:r>
                <m:r>
                  <m:t xml:space="preserve">±</m:t>
                </m:r>
                <m:r>
                  <m:t xml:space="preserve">0.0136</m:t>
                </m:r>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0.0264</m:t>
                </m:r>
                <m:r>
                  <m:t xml:space="preserve">±</m:t>
                </m:r>
                <m:r>
                  <m:t xml:space="preserve">0.0068</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 SE + PINN</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95.73</m:t>
                </m:r>
                <m:r>
                  <m:t xml:space="preserve">±</m:t>
                </m:r>
                <m:r>
                  <m:t xml:space="preserve">0.95</m:t>
                </m:r>
              </m:oMath>
            </m:oMathPara>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0.9561</m:t>
                </m:r>
                <m:r>
                  <m:t xml:space="preserve">±</m:t>
                </m:r>
                <m:r>
                  <m:t xml:space="preserve">0.0098</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0.9612</m:t>
                </m:r>
                <m:r>
                  <m:t xml:space="preserve">±</m:t>
                </m:r>
                <m:r>
                  <m:t xml:space="preserve">0.0112</m:t>
                </m:r>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0.0215</m:t>
                </m:r>
                <m:r>
                  <m:t xml:space="preserve">±</m:t>
                </m:r>
                <m:r>
                  <m:t xml:space="preserve">0.0054</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 SE + PCNN</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96.20</m:t>
                </m:r>
                <m:r>
                  <m:t xml:space="preserve">±</m:t>
                </m:r>
                <m:r>
                  <m:t xml:space="preserve">0.88</m:t>
                </m:r>
              </m:oMath>
            </m:oMathPara>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0.9608</m:t>
                </m:r>
                <m:r>
                  <m:t xml:space="preserve">±</m:t>
                </m:r>
                <m:r>
                  <m:t xml:space="preserve">0.0091</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0.9656</m:t>
                </m:r>
                <m:r>
                  <m:t xml:space="preserve">±</m:t>
                </m:r>
                <m:r>
                  <m:t xml:space="preserve">0.0104</m:t>
                </m:r>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0.0192</m:t>
                </m:r>
                <m:r>
                  <m:t xml:space="preserve">±</m:t>
                </m:r>
                <m:r>
                  <m:t xml:space="preserve">0.0051</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57.1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 </w:t>
            </w:r>
            <w:r>
              <w:rPr>
                <w:rFonts w:eastAsia="Cambria" w:cs=""/>
                <w:b/>
                <w:bCs/>
                <w:kern w:val="0"/>
                <w:sz w:val="24"/>
                <w:szCs w:val="24"/>
                <w:lang w:val="en-US" w:eastAsia="en-US" w:bidi="ar-SA"/>
              </w:rPr>
              <w:t>Full (SE + PCNN + PINN)</w:t>
            </w:r>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97.26</m:t>
                </m:r>
                <m:r>
                  <m:t xml:space="preserve">±</m:t>
                </m:r>
                <m:r>
                  <m:t xml:space="preserve">0.82</m:t>
                </m:r>
              </m:oMath>
            </m:oMathPara>
          </w:p>
        </w:tc>
        <w:tc>
          <w:tcPr>
            <w:tcW w:w="13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0.9715</m:t>
                </m:r>
                <m:r>
                  <m:t xml:space="preserve">±</m:t>
                </m:r>
                <m:r>
                  <m:t xml:space="preserve">0.0084</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0.9875</m:t>
                </m:r>
                <m:r>
                  <m:t xml:space="preserve">±</m:t>
                </m:r>
                <m:r>
                  <m:t xml:space="preserve">0.0098</m:t>
                </m:r>
              </m:oMath>
            </m:oMathPara>
          </w:p>
        </w:tc>
        <w:tc>
          <w:tcPr>
            <w:tcW w:w="131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0.0133</m:t>
                </m:r>
                <m:r>
                  <m:t xml:space="preserve">±</m:t>
                </m:r>
                <m:r>
                  <m:t xml:space="preserve">0.0042</m:t>
                </m:r>
              </m:oMath>
            </m:oMathPara>
          </w:p>
        </w:tc>
        <w:tc>
          <w:tcPr>
            <w:tcW w:w="1320" w:type="dxa"/>
            <w:tcBorders/>
          </w:tcPr>
          <w:p>
            <w:pPr>
              <w:pStyle w:val="Compact"/>
              <w:widowControl/>
              <w:spacing w:before="36" w:after="36"/>
              <w:jc w:val="center"/>
              <w:rPr>
                <w:rFonts w:ascii="Cambria" w:hAnsi="Cambria" w:eastAsia="Cambria" w:cs=""/>
                <w:kern w:val="0"/>
                <w:sz w:val="24"/>
                <w:szCs w:val="24"/>
                <w:lang w:val="en-US" w:eastAsia="en-US" w:bidi="ar-SA"/>
              </w:rPr>
            </w:pPr>
            <w:bookmarkStart w:id="30" w:name="Xf28a00751276006d72f1bdc0963ad21b15525d1"/>
            <w:r>
              <w:rPr>
                <w:rFonts w:eastAsia="Cambria" w:cs=""/>
                <w:kern w:val="0"/>
                <w:sz w:val="24"/>
                <w:szCs w:val="24"/>
                <w:lang w:val="en-US" w:eastAsia="en-US" w:bidi="ar-SA"/>
              </w:rPr>
              <w:t>57.1</w:t>
            </w:r>
            <w:bookmarkEnd w:id="30"/>
            <w:bookmarkEnd w:id="29"/>
          </w:p>
        </w:tc>
      </w:tr>
    </w:tbl>
    <w:p>
      <w:pPr>
        <w:pStyle w:val="Heading2"/>
        <w:rPr/>
      </w:pPr>
      <w:r>
        <w:rPr/>
        <w:t>Experiment 4: Comparison with State-of-the-Art Methods</w:t>
      </w:r>
    </w:p>
    <w:p>
      <w:pPr>
        <w:pStyle w:val="FirstParagraph"/>
        <w:rPr/>
      </w:pPr>
      <w:r>
        <w:rPr/>
        <w:t>We benchmark against seven representative methods (Table </w:t>
      </w:r>
      <w:r>
        <w:rPr>
          <w:rStyle w:val="InternetLink"/>
        </w:rPr>
        <w:t>7</w:t>
      </w:r>
      <w:r>
        <w:rPr/>
        <w:t>) under identical five-fold cross-validation with session-aware splits.</w:t>
      </w:r>
    </w:p>
    <w:p>
      <w:pPr>
        <w:pStyle w:val="TableCaption"/>
        <w:rPr/>
      </w:pPr>
      <w:r>
        <w:rPr/>
        <w:t>Table </w:t>
      </w:r>
      <w:r>
        <w:rPr>
          <w:rStyle w:val="InternetLink"/>
        </w:rPr>
        <w:t xml:space="preserve">7 </w:t>
      </w:r>
      <w:bookmarkStart w:id="31" w:name="tab7"/>
      <w:r>
        <w:rPr/>
        <w:t xml:space="preserve">Comparison with State-of-the-Art Methods (Mean </w:t>
      </w:r>
      <w:r>
        <w:rPr/>
      </w:r>
      <m:oMath xmlns:m="http://schemas.openxmlformats.org/officeDocument/2006/math">
        <m:r>
          <m:t xml:space="preserve">±</m:t>
        </m:r>
      </m:oMath>
      <w:r>
        <w:rPr/>
        <w:t xml:space="preserve"> Std over 5-Fold CV)</w:t>
      </w:r>
    </w:p>
    <w:tbl>
      <w:tblPr>
        <w:tblStyle w:val="Table"/>
        <w:tblW w:w="792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6336" w:type="dxa"/>
            <w:gridSpan w:val="4"/>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Metrics (mean </w:t>
            </w:r>
            <w:r>
              <w:rPr>
                <w:rFonts w:eastAsia="Cambria" w:cs=""/>
                <w:kern w:val="0"/>
                <w:sz w:val="24"/>
                <w:szCs w:val="24"/>
                <w:lang w:val="en-US" w:eastAsia="en-US" w:bidi="ar-SA"/>
              </w:rPr>
            </w:r>
            <m:oMath xmlns:m="http://schemas.openxmlformats.org/officeDocument/2006/math">
              <m:r>
                <m:t xml:space="preserve">±</m:t>
              </m:r>
            </m:oMath>
            <w:r>
              <w:rPr>
                <w:rFonts w:eastAsia="Cambria" w:cs=""/>
                <w:kern w:val="0"/>
                <w:sz w:val="24"/>
                <w:szCs w:val="24"/>
                <w:lang w:val="en-US" w:eastAsia="en-US" w:bidi="ar-SA"/>
              </w:rPr>
              <w:t xml:space="preserve"> std)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Acc(%)</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Sup>
                  <m:e>
                    <m:r>
                      <m:t xml:space="preserve">F</m:t>
                    </m:r>
                  </m:e>
                  <m:sub>
                    <m:r>
                      <m:t xml:space="preserve">1</m:t>
                    </m:r>
                  </m:sub>
                  <m:sup>
                    <m:r>
                      <m:t xml:space="preserve">w</m:t>
                    </m:r>
                  </m:sup>
                </m:sSubSup>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G</m:t>
                    </m:r>
                  </m:e>
                  <m:sub>
                    <m:r>
                      <m:rPr>
                        <m:lit/>
                        <m:nor/>
                      </m:rPr>
                      <m:t xml:space="preserve">mean</m:t>
                    </m:r>
                  </m:sub>
                </m:sSub>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sSub>
                  <m:e>
                    <m:r>
                      <m:t xml:space="preserve">σ</m:t>
                    </m:r>
                  </m:e>
                  <m:sub>
                    <m:sSub>
                      <m:e>
                        <m:r>
                          <m:t xml:space="preserve">F</m:t>
                        </m:r>
                      </m:e>
                      <m:sub>
                        <m:r>
                          <m:t xml:space="preserve">1</m:t>
                        </m:r>
                      </m:sub>
                    </m:sSub>
                  </m:sub>
                </m:sSub>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SVM + PCA (Handcrafted)</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82.57</m:t>
                </m:r>
                <m:r>
                  <m:t xml:space="preserve">±</m:t>
                </m:r>
                <m:r>
                  <m:t xml:space="preserve">2.14</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0.8214</m:t>
                </m:r>
                <m:r>
                  <m:t xml:space="preserve">±</m:t>
                </m:r>
                <m:r>
                  <m:t xml:space="preserve">0.0223</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0.7938</m:t>
                </m:r>
                <m:r>
                  <m:t xml:space="preserve">±</m:t>
                </m:r>
                <m:r>
                  <m:t xml:space="preserve">0.0256</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1D-CNN (End-to-End, Raw)</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87.14</m:t>
                </m:r>
                <m:r>
                  <m:t xml:space="preserve">±</m:t>
                </m:r>
                <m:r>
                  <m:t xml:space="preserve">1.86</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0.8692</m:t>
                </m:r>
                <m:r>
                  <m:t xml:space="preserve">±</m:t>
                </m:r>
                <m:r>
                  <m:t xml:space="preserve">0.0194</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0.8517</m:t>
                </m:r>
                <m:r>
                  <m:t xml:space="preserve">±</m:t>
                </m:r>
                <m:r>
                  <m:t xml:space="preserve">0.0213</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0.0681</m:t>
                </m:r>
                <m:r>
                  <m:t xml:space="preserve">±</m:t>
                </m:r>
                <m:r>
                  <m:t xml:space="preserve">0.0124</m:t>
                </m:r>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EfficientNet-B0 (2D)</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93.68</m:t>
                </m:r>
                <m:r>
                  <m:t xml:space="preserve">±</m:t>
                </m:r>
                <m:r>
                  <m:t xml:space="preserve">1.12</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0.9351</m:t>
                </m:r>
                <m:r>
                  <m:t xml:space="preserve">±</m:t>
                </m:r>
                <m:r>
                  <m:t xml:space="preserve">0.0118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0.9423</m:t>
                </m:r>
                <m:r>
                  <m:t xml:space="preserve">±</m:t>
                </m:r>
                <m:r>
                  <m:t xml:space="preserve">0.0135</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0.0315</m:t>
                </m:r>
                <m:r>
                  <m:t xml:space="preserve">±</m:t>
                </m:r>
                <m:r>
                  <m:t xml:space="preserve">0.0072</m:t>
                </m:r>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ViT-B/16 (2D)</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94.11</m:t>
                </m:r>
                <m:r>
                  <m:t xml:space="preserve">±</m:t>
                </m:r>
                <m:r>
                  <m:t xml:space="preserve">1.08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0.9398</m:t>
                </m:r>
                <m:r>
                  <m:t xml:space="preserve">±</m:t>
                </m:r>
                <m:r>
                  <m:t xml:space="preserve">0.0112</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0.9482</m:t>
                </m:r>
                <m:r>
                  <m:t xml:space="preserve">±</m:t>
                </m:r>
                <m:r>
                  <m:t xml:space="preserve">0.0128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0.0298</m:t>
                </m:r>
                <m:r>
                  <m:t xml:space="preserve">±</m:t>
                </m:r>
                <m:r>
                  <m:t xml:space="preserve">0.0068</m:t>
                </m:r>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ConvNeXt-T (2D)</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94.92</m:t>
                </m:r>
                <m:r>
                  <m:t xml:space="preserve">±</m:t>
                </m:r>
                <m:r>
                  <m:t xml:space="preserve">1.02</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0.9476</m:t>
                </m:r>
                <m:r>
                  <m:t xml:space="preserve">±</m:t>
                </m:r>
                <m:r>
                  <m:t xml:space="preserve">0.0105</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0.9564</m:t>
                </m:r>
                <m:r>
                  <m:t xml:space="preserve">±</m:t>
                </m:r>
                <m:r>
                  <m:t xml:space="preserve">0.0116</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0.0256</m:t>
                </m:r>
                <m:r>
                  <m:t xml:space="preserve">±</m:t>
                </m:r>
                <m:r>
                  <m:t xml:space="preserve">0.0062</m:t>
                </m:r>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Swin-T (2D)</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95.82</m:t>
                </m:r>
                <m:r>
                  <m:t xml:space="preserve">±</m:t>
                </m:r>
                <m:r>
                  <m:t xml:space="preserve">0.94</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0.9568</m:t>
                </m:r>
                <m:r>
                  <m:t xml:space="preserve">±</m:t>
                </m:r>
                <m:r>
                  <m:t xml:space="preserve">0.0098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0.9689</m:t>
                </m:r>
                <m:r>
                  <m:t xml:space="preserve">±</m:t>
                </m:r>
                <m:r>
                  <m:t xml:space="preserve">0.0108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0.0204</m:t>
                </m:r>
                <m:r>
                  <m:t xml:space="preserve">±</m:t>
                </m:r>
                <m:r>
                  <m:t xml:space="preserve">0.0054</m:t>
                </m:r>
              </m:oMath>
            </m:oMathPara>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Proposed (Ours)</w:t>
            </w:r>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97.26</m:t>
                </m:r>
                <m:r>
                  <m:t xml:space="preserve">±</m:t>
                </m:r>
                <m:r>
                  <m:t xml:space="preserve">0.82</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0.9715</m:t>
                </m:r>
                <m:r>
                  <m:t xml:space="preserve">±</m:t>
                </m:r>
                <m:r>
                  <m:t xml:space="preserve">0.0084</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0.9875</m:t>
                </m:r>
                <m:r>
                  <m:t xml:space="preserve">±</m:t>
                </m:r>
                <m:r>
                  <m:t xml:space="preserve">0.0098</m:t>
                </m:r>
              </m:oMath>
            </m:oMathPara>
          </w:p>
        </w:tc>
        <w:tc>
          <w:tcPr>
            <w:tcW w:w="158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center"/>
              </m:oMathParaPr>
              <m:oMath>
                <m:r>
                  <m:t xml:space="preserve">0.0133</m:t>
                </m:r>
                <m:r>
                  <m:t xml:space="preserve">±</m:t>
                </m:r>
                <m:r>
                  <m:t xml:space="preserve">0.0042</m:t>
                </m:r>
              </m:oMath>
            </m:oMathPara>
            <w:bookmarkEnd w:id="31"/>
          </w:p>
        </w:tc>
      </w:tr>
    </w:tbl>
    <w:p>
      <w:pPr>
        <w:pStyle w:val="TextBody"/>
        <w:rPr/>
      </w:pPr>
      <w:r>
        <w:rPr/>
        <w:t>Key findings: (i) The end-to-end 1D-CNN (</w:t>
      </w:r>
      <w:r>
        <w:rPr/>
      </w:r>
      <m:oMath xmlns:m="http://schemas.openxmlformats.org/officeDocument/2006/math">
        <m:r>
          <m:t xml:space="preserve">87.14</m:t>
        </m:r>
        <m:r>
          <m:rPr>
            <m:lit/>
            <m:nor/>
          </m:rPr>
          <m:t xml:space="preserve">%</m:t>
        </m:r>
      </m:oMath>
      <w:r>
        <w:rPr/>
        <w:t>) underperforms spectrogram-based methods, confirming that time-frequency representations provide valuable inductive bias for acoustic diagnosis. (ii) Among modern architectures, Swin-T achieves the best competitor performance (</w:t>
      </w:r>
      <w:r>
        <w:rPr/>
      </w:r>
      <m:oMath xmlns:m="http://schemas.openxmlformats.org/officeDocument/2006/math">
        <m:r>
          <m:t xml:space="preserve">95.82</m:t>
        </m:r>
        <m:r>
          <m:rPr>
            <m:lit/>
            <m:nor/>
          </m:rPr>
          <m:t xml:space="preserve">%</m:t>
        </m:r>
      </m:oMath>
      <w:r>
        <w:rPr/>
        <w:t xml:space="preserve">). (iii) The proposed method outperforms Swin-T by </w:t>
      </w:r>
      <w:r>
        <w:rPr/>
      </w:r>
      <m:oMath xmlns:m="http://schemas.openxmlformats.org/officeDocument/2006/math">
        <m:r>
          <m:t xml:space="preserve">+</m:t>
        </m:r>
        <m:r>
          <m:t xml:space="preserve">1.44</m:t>
        </m:r>
        <m:r>
          <m:rPr>
            <m:lit/>
            <m:nor/>
          </m:rPr>
          <m:t xml:space="preserve">%</m:t>
        </m:r>
      </m:oMath>
      <w:r>
        <w:rPr/>
        <w:t xml:space="preserve"> in accuracy (</w:t>
      </w:r>
      <w:r>
        <w:rPr/>
      </w:r>
      <m:oMath xmlns:m="http://schemas.openxmlformats.org/officeDocument/2006/math">
        <m:r>
          <m:t xml:space="preserve">p</m:t>
        </m:r>
        <m:r>
          <m:t xml:space="preserve">=</m:t>
        </m:r>
        <m:r>
          <m:t xml:space="preserve">0.003</m:t>
        </m:r>
      </m:oMath>
      <w:r>
        <w:rPr/>
        <w:t xml:space="preserve">, paired </w:t>
      </w:r>
      <w:r>
        <w:rPr/>
      </w:r>
      <m:oMath xmlns:m="http://schemas.openxmlformats.org/officeDocument/2006/math">
        <m:r>
          <m:t xml:space="preserve">t</m:t>
        </m:r>
      </m:oMath>
      <w:r>
        <w:rPr/>
        <w:t>-test), demonstrating that PCNN + PINN provides benefits beyond architectural innovation alone.</w:t>
      </w:r>
    </w:p>
    <w:p>
      <w:pPr>
        <w:pStyle w:val="TextBody"/>
        <w:rPr/>
      </w:pPr>
      <w:r>
        <w:rPr/>
      </w:r>
    </w:p>
    <w:p>
      <w:pPr>
        <w:pStyle w:val="Heading2"/>
        <w:rPr/>
      </w:pPr>
      <w:bookmarkStart w:id="32" w:name="discussion"/>
      <w:r>
        <w:rPr/>
        <w:t>Discussion</w:t>
      </w:r>
    </w:p>
    <w:p>
      <w:pPr>
        <w:pStyle w:val="FirstParagraph"/>
        <w:rPr/>
      </w:pPr>
      <w:r>
        <w:rPr/>
        <w:t>The comprehensive experimental evaluation yields several important conclusions:</w:t>
      </w:r>
    </w:p>
    <w:p>
      <w:pPr>
        <w:pStyle w:val="TextBody"/>
        <w:rPr/>
      </w:pPr>
      <w:r>
        <w:rPr>
          <w:b/>
          <w:bCs/>
        </w:rPr>
        <w:t>Component contributions are non-trivial and cumulative.</w:t>
      </w:r>
      <w:r>
        <w:rPr/>
        <w:t xml:space="preserve"> The ablation study (Table </w:t>
      </w:r>
      <w:hyperlink w:anchor="tab6">
        <w:r>
          <w:rPr>
            <w:rStyle w:val="InternetLink"/>
          </w:rPr>
          <w:t>5</w:t>
        </w:r>
      </w:hyperlink>
      <w:r>
        <w:rPr/>
        <w:t>) confirms that SE attention, PCNN enhancement, and PINN regularization each contribute measurable and complementary improvements. No single component dominates; their synergistic combination produces the best performance, addressing the concern that the method is merely a combination of existing techniques.</w:t>
      </w:r>
    </w:p>
    <w:p>
      <w:pPr>
        <w:pStyle w:val="TextBody"/>
        <w:rPr/>
      </w:pPr>
      <w:r>
        <w:rPr>
          <w:b/>
          <w:bCs/>
        </w:rPr>
        <w:t>Physics-informed regularization provides genuine benefit beyond data-driven learning.</w:t>
      </w:r>
      <w:r>
        <w:rPr/>
        <w:t xml:space="preserve"> The PINN component improves accuracy by </w:t>
      </w:r>
      <w:r>
        <w:rPr/>
      </w:r>
      <m:oMath xmlns:m="http://schemas.openxmlformats.org/officeDocument/2006/math">
        <m:r>
          <m:t xml:space="preserve">+</m:t>
        </m:r>
        <m:r>
          <m:t xml:space="preserve">1.06</m:t>
        </m:r>
        <m:r>
          <m:rPr>
            <m:lit/>
            <m:nor/>
          </m:rPr>
          <m:t xml:space="preserve">%</m:t>
        </m:r>
      </m:oMath>
      <w:r>
        <w:rPr/>
        <w:t xml:space="preserve"> over the SE+PCNN variant, with the greatest impact on </w:t>
      </w:r>
      <w:r>
        <w:rPr/>
      </w:r>
      <m:oMath xmlns:m="http://schemas.openxmlformats.org/officeDocument/2006/math">
        <m:sSub>
          <m:e>
            <m:r>
              <m:t xml:space="preserve">G</m:t>
            </m:r>
          </m:e>
          <m:sub>
            <m:r>
              <m:rPr>
                <m:lit/>
                <m:nor/>
              </m:rPr>
              <m:t xml:space="preserve">mean</m:t>
            </m:r>
          </m:sub>
        </m:sSub>
      </m:oMath>
      <w:r>
        <w:rPr/>
        <w:t xml:space="preserve"> (</w:t>
      </w:r>
      <w:r>
        <w:rPr/>
      </w:r>
      <m:oMath xmlns:m="http://schemas.openxmlformats.org/officeDocument/2006/math">
        <m:r>
          <m:t xml:space="preserve">+</m:t>
        </m:r>
        <m:r>
          <m:t xml:space="preserve">0.0219</m:t>
        </m:r>
      </m:oMath>
      <w:r>
        <w:rPr/>
        <w:t>) and under low-SNR conditions. This validates the physical intuition that Laplacian smoothness suppresses unstructured noise.</w:t>
      </w:r>
    </w:p>
    <w:p>
      <w:pPr>
        <w:pStyle w:val="TextBody"/>
        <w:rPr/>
      </w:pPr>
      <w:r>
        <w:rPr>
          <w:b/>
          <w:bCs/>
        </w:rPr>
        <w:t>Overfitting is effectively controlled.</w:t>
      </w:r>
      <w:r>
        <w:rPr/>
        <w:t xml:space="preserve"> Session-aware data partitioning, dropout (rate 0.5), </w:t>
      </w:r>
      <w:r>
        <w:rPr/>
      </w:r>
      <m:oMath xmlns:m="http://schemas.openxmlformats.org/officeDocument/2006/math">
        <m:sSub>
          <m:e>
            <m:r>
              <m:t xml:space="preserve">L</m:t>
            </m:r>
          </m:e>
          <m:sub>
            <m:r>
              <m:t xml:space="preserve">2</m:t>
            </m:r>
          </m:sub>
        </m:sSub>
      </m:oMath>
      <w:r>
        <w:rPr/>
        <w:t xml:space="preserve"> weight decay (</w:t>
      </w:r>
      <w:r>
        <w:rPr/>
      </w:r>
      <m:oMath xmlns:m="http://schemas.openxmlformats.org/officeDocument/2006/math">
        <m:r>
          <m:t xml:space="preserve">λ</m:t>
        </m:r>
        <m:r>
          <m:t xml:space="preserve">=</m:t>
        </m:r>
        <m:sSup>
          <m:e>
            <m:r>
              <m:t xml:space="preserve">10</m:t>
            </m:r>
          </m:e>
          <m:sup>
            <m:r>
              <m:t xml:space="preserve">−</m:t>
            </m:r>
            <m:r>
              <m:t xml:space="preserve">4</m:t>
            </m:r>
          </m:sup>
        </m:sSup>
      </m:oMath>
      <w:r>
        <w:rPr/>
        <w:t xml:space="preserve">), and the Laplacian regularization collectively ensure stable generalization, as evidenced by the low cross-validation standard deviation of </w:t>
      </w:r>
      <w:r>
        <w:rPr/>
      </w:r>
      <m:oMath xmlns:m="http://schemas.openxmlformats.org/officeDocument/2006/math">
        <m:r>
          <m:t xml:space="preserve">±</m:t>
        </m:r>
        <m:r>
          <m:t xml:space="preserve">0.82</m:t>
        </m:r>
        <m:r>
          <m:rPr>
            <m:lit/>
            <m:nor/>
          </m:rPr>
          <m:t xml:space="preserve">%</m:t>
        </m:r>
      </m:oMath>
      <w:r>
        <w:rPr/>
        <w:t>.</w:t>
      </w:r>
    </w:p>
    <w:p>
      <w:pPr>
        <w:pStyle w:val="TextBody"/>
        <w:rPr/>
      </w:pPr>
      <w:r>
        <w:rPr>
          <w:b/>
          <w:bCs/>
        </w:rPr>
        <w:t>Limitations and future work.</w:t>
      </w:r>
      <w:r>
        <w:rPr/>
        <w:t xml:space="preserve"> The dataset, while representative of real substation conditions, is of moderate size (661 total segments). Future work should validate the method on larger, multi-site datasets. Additionally, the Laplacian prior, while physically motivated, is a first-order approximation; incorporating the full Helmholtz equation with estimated wavenumber and impedance boundary conditions may yield further improvements.</w:t>
      </w:r>
      <w:bookmarkEnd w:id="32"/>
    </w:p>
    <w:p>
      <w:pPr>
        <w:pStyle w:val="Heading1"/>
        <w:rPr/>
      </w:pPr>
      <w:r>
        <w:rPr/>
        <w:t>Conclusion</w:t>
      </w:r>
      <w:bookmarkStart w:id="33" w:name="conclusion"/>
    </w:p>
    <w:p>
      <w:pPr>
        <w:pStyle w:val="FirstParagraph"/>
        <w:rPr/>
      </w:pPr>
      <w:r>
        <w:rPr/>
        <w:t>This paper presented a multi-modal acoustic fault diagnosis framework for power transformers that integrates Mel-GADF feature fusion, PCNN-based denoising, and physics-informed representation learning within an improved AlexNet-SE architecture. The key contributions are threefold: (1) a three-channel fusion strategy that combines spectral energy, temporal correlation, and cross-modal difference information; (2) a biologically inspired PCNN front-end that suppresses noise through synchronized neuronal dynamics; and (3) a physics-informed Laplacian regularization derived from the acoustic Helmholtz equation, which imposes physically meaningful smoothness constraints on the learned feature representations.</w:t>
      </w:r>
    </w:p>
    <w:p>
      <w:pPr>
        <w:pStyle w:val="TextBody"/>
        <w:rPr/>
      </w:pPr>
      <w:r>
        <w:rPr/>
        <w:t>Comprehensive experiments demonstrate the following:</w:t>
      </w:r>
    </w:p>
    <w:p>
      <w:pPr>
        <w:pStyle w:val="Normal"/>
        <w:numPr>
          <w:ilvl w:val="0"/>
          <w:numId w:val="32"/>
        </w:numPr>
        <w:rPr/>
      </w:pPr>
      <w:r>
        <w:rPr/>
        <w:t xml:space="preserve">Each proposed component contributes a statistically significant improvement, with the full model achieving </w:t>
      </w:r>
      <w:r>
        <w:rPr/>
      </w:r>
      <m:oMath xmlns:m="http://schemas.openxmlformats.org/officeDocument/2006/math">
        <m:r>
          <m:t xml:space="preserve">97.26</m:t>
        </m:r>
        <m:r>
          <m:t xml:space="preserve">±</m:t>
        </m:r>
        <m:r>
          <m:t xml:space="preserve">0.82</m:t>
        </m:r>
        <m:r>
          <m:rPr>
            <m:lit/>
            <m:nor/>
          </m:rPr>
          <m:t xml:space="preserve">%</m:t>
        </m:r>
      </m:oMath>
      <w:r>
        <w:rPr/>
        <w:t xml:space="preserve"> accuracy.</w:t>
      </w:r>
    </w:p>
    <w:p>
      <w:pPr>
        <w:pStyle w:val="Normal"/>
        <w:numPr>
          <w:ilvl w:val="0"/>
          <w:numId w:val="33"/>
        </w:numPr>
        <w:rPr/>
      </w:pPr>
      <w:r>
        <w:rPr/>
        <w:t>The proposed method outperforms state-of-the-art architectures including Swin Transformer (</w:t>
      </w:r>
      <w:r>
        <w:rPr/>
      </w:r>
      <m:oMath xmlns:m="http://schemas.openxmlformats.org/officeDocument/2006/math">
        <m:r>
          <m:t xml:space="preserve">+</m:t>
        </m:r>
        <m:r>
          <m:t xml:space="preserve">1.44</m:t>
        </m:r>
        <m:r>
          <m:rPr>
            <m:lit/>
            <m:nor/>
          </m:rPr>
          <m:t xml:space="preserve">%</m:t>
        </m:r>
      </m:oMath>
      <w:r>
        <w:rPr/>
        <w:t>), ConvNeXt (</w:t>
      </w:r>
      <w:r>
        <w:rPr/>
      </w:r>
      <m:oMath xmlns:m="http://schemas.openxmlformats.org/officeDocument/2006/math">
        <m:r>
          <m:t xml:space="preserve">+</m:t>
        </m:r>
        <m:r>
          <m:t xml:space="preserve">2.34</m:t>
        </m:r>
        <m:r>
          <m:rPr>
            <m:lit/>
            <m:nor/>
          </m:rPr>
          <m:t xml:space="preserve">%</m:t>
        </m:r>
      </m:oMath>
      <w:r>
        <w:rPr/>
        <w:t>), and ViT (</w:t>
      </w:r>
      <w:r>
        <w:rPr/>
      </w:r>
      <m:oMath xmlns:m="http://schemas.openxmlformats.org/officeDocument/2006/math">
        <m:r>
          <m:t xml:space="preserve">+</m:t>
        </m:r>
        <m:r>
          <m:t xml:space="preserve">3.15</m:t>
        </m:r>
        <m:r>
          <m:rPr>
            <m:lit/>
            <m:nor/>
          </m:rPr>
          <m:t xml:space="preserve">%</m:t>
        </m:r>
      </m:oMath>
      <w:r>
        <w:rPr/>
        <w:t>).</w:t>
      </w:r>
    </w:p>
    <w:p>
      <w:pPr>
        <w:pStyle w:val="Normal"/>
        <w:numPr>
          <w:ilvl w:val="0"/>
          <w:numId w:val="34"/>
        </w:numPr>
        <w:rPr/>
      </w:pPr>
      <w:r>
        <w:rPr/>
        <w:t>Session-aware data partitioning and multi-fold cross-validation confirm generalizability and rule out data leakage.</w:t>
      </w:r>
    </w:p>
    <w:p>
      <w:pPr>
        <w:pStyle w:val="FirstParagraph"/>
        <w:rPr/>
      </w:pPr>
      <w:r>
        <w:rPr/>
        <w:t>Future research directions include: (i) extending the framework to multi-site deployments with domain adaptation; (ii) incorporating higher-order acoustic physics such as the full Helmholtz equation with impedance boundary conditions; (iii) exploring lightweight model variants for edge deployment on substation hardware; and (iv) validating the method on additional fault types and combined fault scenarios.</w:t>
      </w:r>
    </w:p>
    <w:p>
      <w:pPr>
        <w:pStyle w:val="TextBody"/>
        <w:rPr/>
      </w:pPr>
      <w:r>
        <w:rPr/>
      </w:r>
    </w:p>
    <w:p>
      <w:pPr>
        <w:pStyle w:val="Heading1"/>
        <w:rPr>
          <w:rFonts w:ascii="Calibri" w:hAnsi="Calibri" w:eastAsia="" w:cs="" w:asciiTheme="majorHAnsi" w:cstheme="majorBidi" w:eastAsiaTheme="majorEastAsia" w:hAnsiTheme="majorHAnsi"/>
          <w:b/>
          <w:b/>
          <w:bCs/>
          <w:color w:val="4F81BD" w:themeColor="accent1"/>
          <w:sz w:val="32"/>
          <w:szCs w:val="32"/>
        </w:rPr>
      </w:pPr>
      <w:r>
        <w:rPr>
          <w:rFonts w:eastAsia="" w:cs="" w:cstheme="majorBidi" w:eastAsiaTheme="majorEastAsia"/>
          <w:b/>
          <w:bCs/>
          <w:color w:val="4F81BD" w:themeColor="accent1"/>
          <w:sz w:val="32"/>
          <w:szCs w:val="32"/>
        </w:rPr>
        <w:t>References</w:t>
      </w:r>
    </w:p>
    <w:p>
      <w:pPr>
        <w:pStyle w:val="Bibliography"/>
        <w:rPr/>
      </w:pPr>
      <w:bookmarkStart w:id="34" w:name="refs"/>
      <w:bookmarkStart w:id="35" w:name="ref-HE2026119781"/>
      <w:r>
        <w:rPr/>
        <w:t xml:space="preserve">1. P. He, R. Lu, M. Fang, </w:t>
      </w:r>
      <w:r>
        <w:rPr>
          <w:i/>
          <w:iCs/>
        </w:rPr>
        <w:t>Computed laminography reconstruction algorithm of reprojection reference difference based on adaptive entropy weighting</w:t>
      </w:r>
      <w:r>
        <w:rPr/>
        <w:t xml:space="preserve">. </w:t>
      </w:r>
      <w:r>
        <w:rPr>
          <w:i/>
          <w:iCs/>
        </w:rPr>
        <w:t>Measurement</w:t>
      </w:r>
      <w:r>
        <w:rPr/>
        <w:t>, 260(: 119781 doi:</w:t>
      </w:r>
      <w:hyperlink r:id="rId35">
        <w:r>
          <w:rPr>
            <w:rStyle w:val="InternetLink"/>
          </w:rPr>
          <w:t>10.1016/j.measurement.2025.119781</w:t>
        </w:r>
      </w:hyperlink>
      <w:bookmarkEnd w:id="35"/>
    </w:p>
    <w:p>
      <w:pPr>
        <w:pStyle w:val="Bibliography"/>
        <w:rPr/>
      </w:pPr>
      <w:bookmarkStart w:id="36" w:name="ref-10492658"/>
      <w:r>
        <w:rPr/>
        <w:t xml:space="preserve">2. Z. Yu, Y. Wei, B. Niu, X. Zhang, </w:t>
      </w:r>
      <w:r>
        <w:rPr>
          <w:i/>
          <w:iCs/>
        </w:rPr>
        <w:t>Automatic condition monitoring and fault diagnosis system for power transformers based on voiceprint recognition</w:t>
      </w:r>
      <w:r>
        <w:rPr/>
        <w:t xml:space="preserve">. </w:t>
      </w:r>
      <w:r>
        <w:rPr>
          <w:i/>
          <w:iCs/>
        </w:rPr>
        <w:t>IEEE Transactions on Instrumentation and Measurement</w:t>
      </w:r>
      <w:r>
        <w:rPr/>
        <w:t>, 73(: 1–11 doi:</w:t>
      </w:r>
      <w:hyperlink r:id="rId36">
        <w:r>
          <w:rPr>
            <w:rStyle w:val="InternetLink"/>
          </w:rPr>
          <w:t>10.1109/TIM.2024.3384551</w:t>
        </w:r>
      </w:hyperlink>
      <w:bookmarkEnd w:id="36"/>
    </w:p>
    <w:p>
      <w:pPr>
        <w:pStyle w:val="Bibliography"/>
        <w:rPr/>
      </w:pPr>
      <w:bookmarkStart w:id="37" w:name="ref-a1"/>
      <w:r>
        <w:rPr/>
        <w:t xml:space="preserve">3. S. Shan, J. Liu, S. Wu, Y. Shao, H. Li, </w:t>
      </w:r>
      <w:r>
        <w:rPr>
          <w:i/>
          <w:iCs/>
        </w:rPr>
        <w:t>A motor bearing fault voiceprint recognition method based on mel-CNN model</w:t>
      </w:r>
      <w:r>
        <w:rPr/>
        <w:t xml:space="preserve">. </w:t>
      </w:r>
      <w:r>
        <w:rPr>
          <w:i/>
          <w:iCs/>
        </w:rPr>
        <w:t>Measurement</w:t>
      </w:r>
      <w:r>
        <w:rPr/>
        <w:t>, 207( doi:</w:t>
      </w:r>
      <w:hyperlink r:id="rId37">
        <w:r>
          <w:rPr>
            <w:rStyle w:val="InternetLink"/>
          </w:rPr>
          <w:t>10.1016/j.measurement.2022.112408</w:t>
        </w:r>
      </w:hyperlink>
      <w:bookmarkEnd w:id="37"/>
    </w:p>
    <w:p>
      <w:pPr>
        <w:pStyle w:val="Bibliography"/>
        <w:rPr/>
      </w:pPr>
      <w:bookmarkStart w:id="38" w:name="ref-10606641"/>
      <w:r>
        <w:rPr/>
        <w:t xml:space="preserve">4. L. Hongming, K. Zhang, S. Han, </w:t>
      </w:r>
      <w:r>
        <w:rPr>
          <w:i/>
          <w:iCs/>
        </w:rPr>
        <w:t>A comparison of CNN-based transformer fault diagnosis methods based on voiceprint signal</w:t>
      </w:r>
      <w:r>
        <w:rPr/>
        <w:t xml:space="preserve">. </w:t>
      </w:r>
      <w:r>
        <w:rPr>
          <w:i/>
          <w:iCs/>
        </w:rPr>
        <w:t>2024 IEEE 13th data driven control and learning systems conference (DDCLS)</w:t>
      </w:r>
      <w:r>
        <w:rPr/>
        <w:t>, : 819–824 doi:</w:t>
      </w:r>
      <w:hyperlink r:id="rId38">
        <w:r>
          <w:rPr>
            <w:rStyle w:val="InternetLink"/>
          </w:rPr>
          <w:t>10.1109/DDCLS61622.2024.10606641</w:t>
        </w:r>
      </w:hyperlink>
      <w:bookmarkEnd w:id="38"/>
    </w:p>
    <w:p>
      <w:pPr>
        <w:pStyle w:val="Bibliography"/>
        <w:rPr/>
      </w:pPr>
      <w:bookmarkStart w:id="39" w:name="ref-4265659"/>
      <w:r>
        <w:rPr/>
        <w:t xml:space="preserve">5. L.-J. Chen, W.-M. Lin, T.-P. Tsao, Y.-H. Lin, </w:t>
      </w:r>
      <w:r>
        <w:rPr>
          <w:i/>
          <w:iCs/>
        </w:rPr>
        <w:t>Study of partial discharge measurement in power equipment using acoustic technique and wavelet transform</w:t>
      </w:r>
      <w:r>
        <w:rPr/>
        <w:t xml:space="preserve">. </w:t>
      </w:r>
      <w:r>
        <w:rPr>
          <w:i/>
          <w:iCs/>
        </w:rPr>
        <w:t>IEEE Transactions on Power Delivery</w:t>
      </w:r>
      <w:r>
        <w:rPr/>
        <w:t>, 22(3): 1575–1580 doi:</w:t>
      </w:r>
      <w:hyperlink r:id="rId39">
        <w:r>
          <w:rPr>
            <w:rStyle w:val="InternetLink"/>
          </w:rPr>
          <w:t>10.1109/TPWRD.2007.899254</w:t>
        </w:r>
      </w:hyperlink>
      <w:bookmarkEnd w:id="39"/>
    </w:p>
    <w:p>
      <w:pPr>
        <w:pStyle w:val="Bibliography"/>
        <w:rPr/>
      </w:pPr>
      <w:bookmarkStart w:id="40" w:name="ref-7558591"/>
      <w:r>
        <w:rPr/>
        <w:t xml:space="preserve">6. Y. Li, W. Peng, X. Zhu, G. Wei, H. Yu, G. Qian, </w:t>
      </w:r>
      <w:r>
        <w:rPr>
          <w:i/>
          <w:iCs/>
        </w:rPr>
        <w:t>Based on short-time fourier transform impulse frequency response analysis in the application of the transformer winding deformation</w:t>
      </w:r>
      <w:r>
        <w:rPr/>
        <w:t xml:space="preserve">. </w:t>
      </w:r>
      <w:r>
        <w:rPr>
          <w:i/>
          <w:iCs/>
        </w:rPr>
        <w:t>2016 IEEE international conference on mechatronics and automation</w:t>
      </w:r>
      <w:r>
        <w:rPr/>
        <w:t>, : 371–375 doi:</w:t>
      </w:r>
      <w:hyperlink r:id="rId40">
        <w:r>
          <w:rPr>
            <w:rStyle w:val="InternetLink"/>
          </w:rPr>
          <w:t>10.1109/ICMA.2016.7558591</w:t>
        </w:r>
      </w:hyperlink>
      <w:bookmarkEnd w:id="40"/>
    </w:p>
    <w:p>
      <w:pPr>
        <w:pStyle w:val="Bibliography"/>
        <w:rPr/>
      </w:pPr>
      <w:bookmarkStart w:id="41" w:name="ref-9760386"/>
      <w:r>
        <w:rPr/>
        <w:t xml:space="preserve">7. R. Xiao, Z. Zhang, Y. Dan, Y. Yang, Z. Pan, J. Deng, </w:t>
      </w:r>
      <w:r>
        <w:rPr>
          <w:i/>
          <w:iCs/>
        </w:rPr>
        <w:t>Multifeature extraction and semi-supervised deep learning scheme for state diagnosis of converter transformer</w:t>
      </w:r>
      <w:r>
        <w:rPr/>
        <w:t xml:space="preserve">. </w:t>
      </w:r>
      <w:r>
        <w:rPr>
          <w:i/>
          <w:iCs/>
        </w:rPr>
        <w:t>IEEE Transactions on Instrumentation and Measurement</w:t>
      </w:r>
      <w:r>
        <w:rPr/>
        <w:t>, 71(: 1–12 doi:</w:t>
      </w:r>
      <w:hyperlink r:id="rId41">
        <w:r>
          <w:rPr>
            <w:rStyle w:val="InternetLink"/>
          </w:rPr>
          <w:t>10.1109/TIM.2022.3168929</w:t>
        </w:r>
      </w:hyperlink>
      <w:bookmarkEnd w:id="41"/>
    </w:p>
    <w:p>
      <w:pPr>
        <w:pStyle w:val="Bibliography"/>
        <w:rPr/>
      </w:pPr>
      <w:bookmarkStart w:id="42" w:name="ref-11014495"/>
      <w:r>
        <w:rPr/>
        <w:t xml:space="preserve">8. K. Zhang, H. Lu, S. Han, X. Zhao, </w:t>
      </w:r>
      <w:r>
        <w:rPr>
          <w:i/>
          <w:iCs/>
        </w:rPr>
        <w:t>A novel fault diagnosis method for power transformers based on voiceprint recognition considering multitype noises</w:t>
      </w:r>
      <w:r>
        <w:rPr/>
        <w:t xml:space="preserve">. </w:t>
      </w:r>
      <w:r>
        <w:rPr>
          <w:i/>
          <w:iCs/>
        </w:rPr>
        <w:t>IEEE Transactions on Instrumentation and Measurement</w:t>
      </w:r>
      <w:r>
        <w:rPr/>
        <w:t>, 74(: 1–11 doi:</w:t>
      </w:r>
      <w:hyperlink r:id="rId42">
        <w:r>
          <w:rPr>
            <w:rStyle w:val="InternetLink"/>
          </w:rPr>
          <w:t>10.1109/TIM.2025.3573012</w:t>
        </w:r>
      </w:hyperlink>
      <w:bookmarkEnd w:id="42"/>
    </w:p>
    <w:p>
      <w:pPr>
        <w:pStyle w:val="Bibliography"/>
        <w:rPr/>
      </w:pPr>
      <w:bookmarkStart w:id="43" w:name="ref-5352306"/>
      <w:r>
        <w:rPr/>
        <w:t xml:space="preserve">9. M. Tripathy, R. P. Maheshwari, H. K. Verma, </w:t>
      </w:r>
      <w:r>
        <w:rPr>
          <w:i/>
          <w:iCs/>
        </w:rPr>
        <w:t>Power transformer differential protection based on optimal probabilistic neural network</w:t>
      </w:r>
      <w:r>
        <w:rPr/>
        <w:t xml:space="preserve">. </w:t>
      </w:r>
      <w:r>
        <w:rPr>
          <w:i/>
          <w:iCs/>
        </w:rPr>
        <w:t>IEEE Transactions on Power Delivery</w:t>
      </w:r>
      <w:r>
        <w:rPr/>
        <w:t>, 25(1): 102–112 doi:</w:t>
      </w:r>
      <w:hyperlink r:id="rId43">
        <w:r>
          <w:rPr>
            <w:rStyle w:val="InternetLink"/>
          </w:rPr>
          <w:t>10.1109/TPWRD.2009.2028800</w:t>
        </w:r>
      </w:hyperlink>
      <w:bookmarkEnd w:id="43"/>
    </w:p>
    <w:p>
      <w:pPr>
        <w:pStyle w:val="Bibliography"/>
        <w:rPr/>
      </w:pPr>
      <w:bookmarkStart w:id="44" w:name="ref-4717246"/>
      <w:r>
        <w:rPr/>
        <w:t xml:space="preserve">10. A. Shintemirov, W. Tang, Q. H. Wu, </w:t>
      </w:r>
      <w:r>
        <w:rPr>
          <w:i/>
          <w:iCs/>
        </w:rPr>
        <w:t>Power transformer fault classification based on dissolved gas analysis by implementing bootstrap and genetic programming</w:t>
      </w:r>
      <w:r>
        <w:rPr/>
        <w:t xml:space="preserve">. </w:t>
      </w:r>
      <w:r>
        <w:rPr>
          <w:i/>
          <w:iCs/>
        </w:rPr>
        <w:t>IEEE Transactions on Systems, Man, and Cybernetics, Part C (Applications and Reviews)</w:t>
      </w:r>
      <w:r>
        <w:rPr/>
        <w:t>, 39(1): 69–79 doi:</w:t>
      </w:r>
      <w:hyperlink r:id="rId44">
        <w:r>
          <w:rPr>
            <w:rStyle w:val="InternetLink"/>
          </w:rPr>
          <w:t>10.1109/TSMCC.2008.2007253</w:t>
        </w:r>
      </w:hyperlink>
      <w:bookmarkEnd w:id="44"/>
    </w:p>
    <w:p>
      <w:pPr>
        <w:pStyle w:val="Bibliography"/>
        <w:rPr/>
      </w:pPr>
      <w:bookmarkStart w:id="45" w:name="ref-dosovitskiy2021vit"/>
      <w:r>
        <w:rPr/>
        <w:t xml:space="preserve">11. A. Dosovitskiy, L. Beyer, A. Kolesnikov, D. Weissenborn, X. Zhai, T. Unterthiner, M. Dehghani, M. Minderer, G. Heigold, S. Gelly, others, </w:t>
      </w:r>
      <w:r>
        <w:rPr>
          <w:i/>
          <w:iCs/>
        </w:rPr>
        <w:t>An image is worth 16x16 words: Transformers for image recognition at scale</w:t>
      </w:r>
      <w:r>
        <w:rPr/>
        <w:t xml:space="preserve">. </w:t>
      </w:r>
      <w:r>
        <w:rPr>
          <w:i/>
          <w:iCs/>
        </w:rPr>
        <w:t>International conference on learning representations (ICLR)</w:t>
      </w:r>
      <w:r>
        <w:rPr/>
        <w:t>, doi:</w:t>
      </w:r>
      <w:hyperlink r:id="rId45">
        <w:r>
          <w:rPr>
            <w:rStyle w:val="InternetLink"/>
          </w:rPr>
          <w:t>10.48550/arXiv.2010.11929</w:t>
        </w:r>
      </w:hyperlink>
      <w:bookmarkEnd w:id="45"/>
    </w:p>
    <w:p>
      <w:pPr>
        <w:pStyle w:val="Bibliography"/>
        <w:rPr/>
      </w:pPr>
      <w:bookmarkStart w:id="46" w:name="ref-tan2019efficientnet"/>
      <w:r>
        <w:rPr/>
        <w:t xml:space="preserve">12. M. Tan, Q. V. Le, </w:t>
      </w:r>
      <w:r>
        <w:rPr>
          <w:i/>
          <w:iCs/>
        </w:rPr>
        <w:t>EfficientNet: Rethinking model scaling for convolutional neural networks</w:t>
      </w:r>
      <w:r>
        <w:rPr/>
        <w:t xml:space="preserve">. </w:t>
      </w:r>
      <w:r>
        <w:rPr>
          <w:i/>
          <w:iCs/>
        </w:rPr>
        <w:t>Proceedings of the 36th international conference on machine learning (ICML)</w:t>
      </w:r>
      <w:r>
        <w:rPr/>
        <w:t>, : 6105–6114 doi:</w:t>
      </w:r>
      <w:hyperlink r:id="rId46">
        <w:r>
          <w:rPr>
            <w:rStyle w:val="InternetLink"/>
          </w:rPr>
          <w:t>10.48550/arXiv.1905.11946</w:t>
        </w:r>
      </w:hyperlink>
      <w:bookmarkEnd w:id="46"/>
    </w:p>
    <w:p>
      <w:pPr>
        <w:pStyle w:val="Bibliography"/>
        <w:rPr/>
      </w:pPr>
      <w:bookmarkStart w:id="47" w:name="ref-liu2021swin"/>
      <w:r>
        <w:rPr/>
        <w:t xml:space="preserve">13. Z. Liu, Y. Lin, Y. Cao, H. Hu, Y. Wei, Z. Zhang, S. Lin, B. Guo, </w:t>
      </w:r>
      <w:r>
        <w:rPr>
          <w:i/>
          <w:iCs/>
        </w:rPr>
        <w:t>Swin transformer: Hierarchical vision transformer using shifted windows</w:t>
      </w:r>
      <w:r>
        <w:rPr/>
        <w:t xml:space="preserve">. </w:t>
      </w:r>
      <w:r>
        <w:rPr>
          <w:i/>
          <w:iCs/>
        </w:rPr>
        <w:t>Proceedings of the IEEE/CVF international conference on computer vision (ICCV)</w:t>
      </w:r>
      <w:r>
        <w:rPr/>
        <w:t>, : 10012–10022 doi:</w:t>
      </w:r>
      <w:hyperlink r:id="rId47">
        <w:r>
          <w:rPr>
            <w:rStyle w:val="InternetLink"/>
          </w:rPr>
          <w:t>10.1109/ICCV48922.2021.00986</w:t>
        </w:r>
      </w:hyperlink>
      <w:bookmarkEnd w:id="47"/>
    </w:p>
    <w:p>
      <w:pPr>
        <w:pStyle w:val="Bibliography"/>
        <w:rPr/>
      </w:pPr>
      <w:bookmarkStart w:id="48" w:name="ref-9903391"/>
      <w:r>
        <w:rPr/>
        <w:t xml:space="preserve">14. U. B. Waheed, </w:t>
      </w:r>
      <w:r>
        <w:rPr>
          <w:i/>
          <w:iCs/>
        </w:rPr>
        <w:t>Kronecker neural networks overcome spectral bias for PINN-based wavefield computation</w:t>
      </w:r>
      <w:r>
        <w:rPr/>
        <w:t xml:space="preserve">. </w:t>
      </w:r>
      <w:r>
        <w:rPr>
          <w:i/>
          <w:iCs/>
        </w:rPr>
        <w:t>IEEE Geoscience and Remote Sensing Letters</w:t>
      </w:r>
      <w:r>
        <w:rPr/>
        <w:t>, 19(: 1–5 doi:</w:t>
      </w:r>
      <w:hyperlink r:id="rId48">
        <w:r>
          <w:rPr>
            <w:rStyle w:val="InternetLink"/>
          </w:rPr>
          <w:t>10.1109/LGRS.2022.3209901</w:t>
        </w:r>
      </w:hyperlink>
      <w:bookmarkEnd w:id="48"/>
    </w:p>
    <w:p>
      <w:pPr>
        <w:pStyle w:val="Bibliography"/>
        <w:rPr/>
      </w:pPr>
      <w:bookmarkStart w:id="49" w:name="ref-r4"/>
      <w:r>
        <w:rPr/>
        <w:t xml:space="preserve">15. T. Laneryd, F. Bragone, K. Morozovska, M. Luvisotto, </w:t>
      </w:r>
      <w:r>
        <w:rPr>
          <w:i/>
          <w:iCs/>
        </w:rPr>
        <w:t>Physics informed neural networks for power transformer dynamic thermal modelling</w:t>
      </w:r>
      <w:r>
        <w:rPr/>
        <w:t xml:space="preserve">. </w:t>
      </w:r>
      <w:r>
        <w:rPr>
          <w:i/>
          <w:iCs/>
        </w:rPr>
        <w:t>IFAC-PapersOnLine</w:t>
      </w:r>
      <w:r>
        <w:rPr/>
        <w:t>, 55(: 49–54 doi:</w:t>
      </w:r>
      <w:hyperlink r:id="rId49">
        <w:r>
          <w:rPr>
            <w:rStyle w:val="InternetLink"/>
          </w:rPr>
          <w:t>10.1016/j.ifacol.2022.09.070</w:t>
        </w:r>
      </w:hyperlink>
      <w:bookmarkEnd w:id="49"/>
    </w:p>
    <w:p>
      <w:pPr>
        <w:pStyle w:val="Bibliography"/>
        <w:rPr/>
      </w:pPr>
      <w:bookmarkStart w:id="50" w:name="ref-10964340"/>
      <w:r>
        <w:rPr/>
        <w:t xml:space="preserve">16. L. Lei, Y. He, Z. Xing, Z. Li, Y. Zhou, </w:t>
      </w:r>
      <w:r>
        <w:rPr>
          <w:i/>
          <w:iCs/>
        </w:rPr>
        <w:t>Physics-informed LSTM-based time-series forecasting model for power transformers</w:t>
      </w:r>
      <w:r>
        <w:rPr/>
        <w:t xml:space="preserve">. </w:t>
      </w:r>
      <w:r>
        <w:rPr>
          <w:i/>
          <w:iCs/>
        </w:rPr>
        <w:t>IEEE Transactions on Industrial Informatics</w:t>
      </w:r>
      <w:r>
        <w:rPr/>
        <w:t>, 21(7): 5411–5419 doi:</w:t>
      </w:r>
      <w:hyperlink r:id="rId50">
        <w:r>
          <w:rPr>
            <w:rStyle w:val="InternetLink"/>
          </w:rPr>
          <w:t>10.1109/TII.2025.3555981</w:t>
        </w:r>
      </w:hyperlink>
      <w:bookmarkEnd w:id="50"/>
    </w:p>
    <w:p>
      <w:pPr>
        <w:pStyle w:val="Bibliography"/>
        <w:rPr/>
      </w:pPr>
      <w:bookmarkStart w:id="51" w:name="ref-11027711"/>
      <w:r>
        <w:rPr/>
        <w:t xml:space="preserve">17. M. A. Khan, A. Rahman, F. U. Mahmud, K. K. Bishnu, H. R. Nabil, M. F. Mridha, Md. J. Hossen, </w:t>
      </w:r>
      <w:r>
        <w:rPr>
          <w:i/>
          <w:iCs/>
        </w:rPr>
        <w:t>A physics-guided bayesian neural network for sensor fault detection in wind turbines</w:t>
      </w:r>
      <w:r>
        <w:rPr/>
        <w:t xml:space="preserve">. </w:t>
      </w:r>
      <w:r>
        <w:rPr>
          <w:i/>
          <w:iCs/>
        </w:rPr>
        <w:t>IEEE Open Journal of the Computer Society</w:t>
      </w:r>
      <w:r>
        <w:rPr/>
        <w:t>, 6(: 931–942 doi:</w:t>
      </w:r>
      <w:hyperlink r:id="rId51">
        <w:r>
          <w:rPr>
            <w:rStyle w:val="InternetLink"/>
          </w:rPr>
          <w:t>10.1109/OJCS.2025.3577588</w:t>
        </w:r>
      </w:hyperlink>
      <w:bookmarkEnd w:id="51"/>
    </w:p>
    <w:p>
      <w:pPr>
        <w:pStyle w:val="Bibliography"/>
        <w:rPr/>
      </w:pPr>
      <w:bookmarkStart w:id="52" w:name="ref-10551894"/>
      <w:r>
        <w:rPr/>
        <w:t xml:space="preserve">18. J. Zou, C. Liu, P. Zhao, C. Song, </w:t>
      </w:r>
      <w:r>
        <w:rPr>
          <w:i/>
          <w:iCs/>
        </w:rPr>
        <w:t>Seismic wavefields modeling with variable horizontally layered velocity models via velocity-encoded PINN</w:t>
      </w:r>
      <w:r>
        <w:rPr/>
        <w:t xml:space="preserve">. </w:t>
      </w:r>
      <w:r>
        <w:rPr>
          <w:i/>
          <w:iCs/>
        </w:rPr>
        <w:t>IEEE Transactions on Geoscience and Remote Sensing</w:t>
      </w:r>
      <w:r>
        <w:rPr/>
        <w:t>, 62(: 1–11 doi:</w:t>
      </w:r>
      <w:hyperlink r:id="rId52">
        <w:r>
          <w:rPr>
            <w:rStyle w:val="InternetLink"/>
          </w:rPr>
          <w:t>10.1109/TGRS.2024.3411472</w:t>
        </w:r>
      </w:hyperlink>
      <w:bookmarkEnd w:id="52"/>
    </w:p>
    <w:p>
      <w:pPr>
        <w:pStyle w:val="Bibliography"/>
        <w:rPr/>
      </w:pPr>
      <w:bookmarkStart w:id="53" w:name="ref-WANG2026119319"/>
      <w:r>
        <w:rPr/>
        <w:t xml:space="preserve">19. W. Wang, F. Liu, X. Lv, F. Zhang, M. Jiang, Y. Jia, </w:t>
      </w:r>
      <w:r>
        <w:rPr>
          <w:i/>
          <w:iCs/>
        </w:rPr>
        <w:t>Multi-source structural fusion and synchronous heterogeneous network for power transformers partial domain adaptation fault diagnosis</w:t>
      </w:r>
      <w:r>
        <w:rPr/>
        <w:t xml:space="preserve">. </w:t>
      </w:r>
      <w:r>
        <w:rPr>
          <w:i/>
          <w:iCs/>
        </w:rPr>
        <w:t>Measurement</w:t>
      </w:r>
      <w:r>
        <w:rPr/>
        <w:t>, 258(: 119319 doi:</w:t>
      </w:r>
      <w:hyperlink r:id="rId53">
        <w:r>
          <w:rPr>
            <w:rStyle w:val="InternetLink"/>
          </w:rPr>
          <w:t>10.1016/j.measurement.2025.119319</w:t>
        </w:r>
      </w:hyperlink>
      <w:bookmarkEnd w:id="53"/>
    </w:p>
    <w:p>
      <w:pPr>
        <w:pStyle w:val="Bibliography"/>
        <w:rPr/>
      </w:pPr>
      <w:bookmarkStart w:id="54" w:name="ref-10768989"/>
      <w:r>
        <w:rPr/>
        <w:t xml:space="preserve">20. J. Wang, X. Qian, H. Li, </w:t>
      </w:r>
      <w:r>
        <w:rPr>
          <w:i/>
          <w:iCs/>
        </w:rPr>
        <w:t>Predict-and-update network: Audio-visual speech recognition inspired by human speech perception</w:t>
      </w:r>
      <w:r>
        <w:rPr/>
        <w:t xml:space="preserve">. </w:t>
      </w:r>
      <w:r>
        <w:rPr>
          <w:i/>
          <w:iCs/>
        </w:rPr>
        <w:t>IEEE Transactions on Audio, Speech and Language Processing</w:t>
      </w:r>
      <w:r>
        <w:rPr/>
        <w:t>, 33(: 11–22 doi:</w:t>
      </w:r>
      <w:hyperlink r:id="rId54">
        <w:r>
          <w:rPr>
            <w:rStyle w:val="InternetLink"/>
          </w:rPr>
          <w:t>10.1109/TASLP.2024.3507575</w:t>
        </w:r>
      </w:hyperlink>
      <w:bookmarkEnd w:id="54"/>
    </w:p>
    <w:p>
      <w:pPr>
        <w:pStyle w:val="Bibliography"/>
        <w:rPr/>
      </w:pPr>
      <w:bookmarkStart w:id="55" w:name="ref-SHAN2023112408"/>
      <w:r>
        <w:rPr/>
        <w:t xml:space="preserve">21. S. Shan, J. Liu, S. Wu, Y. Shao, H. Li, </w:t>
      </w:r>
      <w:r>
        <w:rPr>
          <w:i/>
          <w:iCs/>
        </w:rPr>
        <w:t>A motor bearing fault voiceprint recognition method based on Mel-CNN model</w:t>
      </w:r>
      <w:r>
        <w:rPr/>
        <w:t xml:space="preserve">. </w:t>
      </w:r>
      <w:r>
        <w:rPr>
          <w:i/>
          <w:iCs/>
        </w:rPr>
        <w:t>Measurement</w:t>
      </w:r>
      <w:r>
        <w:rPr/>
        <w:t>, 207(: 112408 doi:</w:t>
      </w:r>
      <w:hyperlink r:id="rId55">
        <w:r>
          <w:rPr>
            <w:rStyle w:val="InternetLink"/>
          </w:rPr>
          <w:t>10.1016/j.measurement.2022.112408</w:t>
        </w:r>
      </w:hyperlink>
      <w:bookmarkEnd w:id="55"/>
    </w:p>
    <w:p>
      <w:pPr>
        <w:pStyle w:val="Bibliography"/>
        <w:rPr/>
      </w:pPr>
      <w:bookmarkStart w:id="56" w:name="ref-11097896"/>
      <w:r>
        <w:rPr/>
        <w:t xml:space="preserve">22. N. Shao, R. Zhou, P. Wang, X. Li, Y. Fang, Y. Yang, X. Li, </w:t>
      </w:r>
      <w:r>
        <w:rPr>
          <w:i/>
          <w:iCs/>
        </w:rPr>
        <w:t>CleanMel: Mel-spectrogram enhancement for improving both speech quality and ASR</w:t>
      </w:r>
      <w:r>
        <w:rPr/>
        <w:t xml:space="preserve">. </w:t>
      </w:r>
      <w:r>
        <w:rPr>
          <w:i/>
          <w:iCs/>
        </w:rPr>
        <w:t>IEEE Transactions on Audio, Speech and Language Processing</w:t>
      </w:r>
      <w:r>
        <w:rPr/>
        <w:t>, 33(: 3202–3214 doi:</w:t>
      </w:r>
      <w:hyperlink r:id="rId56">
        <w:r>
          <w:rPr>
            <w:rStyle w:val="InternetLink"/>
          </w:rPr>
          <w:t>10.1109/TASLPRO.2025.3592333</w:t>
        </w:r>
      </w:hyperlink>
      <w:bookmarkEnd w:id="56"/>
    </w:p>
    <w:p>
      <w:pPr>
        <w:pStyle w:val="Bibliography"/>
        <w:rPr/>
      </w:pPr>
      <w:bookmarkStart w:id="57" w:name="ref-4712660"/>
      <w:r>
        <w:rPr/>
        <w:t xml:space="preserve">23. S. M. Markalous, S. Tenbohlen, K. Feser, </w:t>
      </w:r>
      <w:r>
        <w:rPr>
          <w:i/>
          <w:iCs/>
        </w:rPr>
        <w:t>Detection and location of partial discharges in power transformers using acoustic and electromagnetic signals</w:t>
      </w:r>
      <w:r>
        <w:rPr/>
        <w:t xml:space="preserve">. </w:t>
      </w:r>
      <w:r>
        <w:rPr>
          <w:i/>
          <w:iCs/>
        </w:rPr>
        <w:t>IEEE Transactions on Dielectrics and Electrical Insulation</w:t>
      </w:r>
      <w:r>
        <w:rPr/>
        <w:t>, 15(6): 1576–1583 doi:</w:t>
      </w:r>
      <w:hyperlink r:id="rId57">
        <w:r>
          <w:rPr>
            <w:rStyle w:val="InternetLink"/>
          </w:rPr>
          <w:t>10.1109/TDEI.2008.4712660</w:t>
        </w:r>
      </w:hyperlink>
      <w:bookmarkEnd w:id="57"/>
    </w:p>
    <w:p>
      <w:pPr>
        <w:pStyle w:val="Bibliography"/>
        <w:rPr/>
      </w:pPr>
      <w:bookmarkStart w:id="58" w:name="ref-r1"/>
      <w:r>
        <w:rPr/>
        <w:t xml:space="preserve">24. S. K. Kopparapu, K. K. Bhuvanagiri, </w:t>
      </w:r>
      <w:r>
        <w:rPr>
          <w:i/>
          <w:iCs/>
        </w:rPr>
        <w:t>Recognition of subsampled speech using a modified mel filter bank</w:t>
      </w:r>
      <w:r>
        <w:rPr/>
        <w:t xml:space="preserve">. </w:t>
      </w:r>
      <w:r>
        <w:rPr>
          <w:i/>
          <w:iCs/>
        </w:rPr>
        <w:t>Computers and electrical engineering</w:t>
      </w:r>
      <w:r>
        <w:rPr/>
        <w:t>, 39(: 655–662 doi:</w:t>
      </w:r>
      <w:hyperlink r:id="rId58">
        <w:r>
          <w:rPr>
            <w:rStyle w:val="InternetLink"/>
          </w:rPr>
          <w:t>10.1016/j.compeleceng.2012.10.002</w:t>
        </w:r>
      </w:hyperlink>
      <w:bookmarkEnd w:id="58"/>
    </w:p>
    <w:p>
      <w:pPr>
        <w:pStyle w:val="Bibliography"/>
        <w:rPr/>
      </w:pPr>
      <w:bookmarkStart w:id="59" w:name="ref-10114345"/>
      <w:r>
        <w:rPr/>
        <w:t xml:space="preserve">25. K. Zhao, H. Li, J. Ma, T. Zhuang, Y. Li, H. Xiao, Z. Yin, </w:t>
      </w:r>
      <w:r>
        <w:rPr>
          <w:i/>
          <w:iCs/>
        </w:rPr>
        <w:t>Mechanical fault diagnosis method for GIS based on convolution neural network and enhanced gramian angular field</w:t>
      </w:r>
      <w:r>
        <w:rPr/>
        <w:t xml:space="preserve">. </w:t>
      </w:r>
      <w:r>
        <w:rPr>
          <w:i/>
          <w:iCs/>
        </w:rPr>
        <w:t>2023 5th asia energy and electrical engineering symposium (AEEES)</w:t>
      </w:r>
      <w:r>
        <w:rPr/>
        <w:t>, : 640–643 doi:</w:t>
      </w:r>
      <w:hyperlink r:id="rId59">
        <w:r>
          <w:rPr>
            <w:rStyle w:val="InternetLink"/>
          </w:rPr>
          <w:t>10.1109/AEEES56888.2023.10114345</w:t>
        </w:r>
      </w:hyperlink>
      <w:bookmarkEnd w:id="59"/>
    </w:p>
    <w:p>
      <w:pPr>
        <w:pStyle w:val="Bibliography"/>
        <w:rPr/>
      </w:pPr>
      <w:bookmarkStart w:id="60" w:name="ref-10281942"/>
      <w:r>
        <w:rPr/>
        <w:t xml:space="preserve">26. X. Zhai, F. Wang, </w:t>
      </w:r>
      <w:r>
        <w:rPr>
          <w:i/>
          <w:iCs/>
        </w:rPr>
        <w:t>Space target recognition based on gramian angular field representation and attention mechanism</w:t>
      </w:r>
      <w:r>
        <w:rPr/>
        <w:t xml:space="preserve">. </w:t>
      </w:r>
      <w:r>
        <w:rPr>
          <w:i/>
          <w:iCs/>
        </w:rPr>
        <w:t>IGARSS 2023 - 2023 IEEE international geoscience and remote sensing symposium</w:t>
      </w:r>
      <w:r>
        <w:rPr/>
        <w:t>, : 5774–5777 doi:</w:t>
      </w:r>
      <w:hyperlink r:id="rId60">
        <w:r>
          <w:rPr>
            <w:rStyle w:val="InternetLink"/>
          </w:rPr>
          <w:t>10.1109/IGARSS52108.2023.10281942</w:t>
        </w:r>
      </w:hyperlink>
      <w:bookmarkEnd w:id="60"/>
    </w:p>
    <w:p>
      <w:pPr>
        <w:pStyle w:val="Bibliography"/>
        <w:rPr/>
      </w:pPr>
      <w:bookmarkStart w:id="61" w:name="ref-8975572"/>
      <w:r>
        <w:rPr/>
        <w:t xml:space="preserve">27. Md. M. Islam, Md. M. H. Shuvo, </w:t>
      </w:r>
      <w:r>
        <w:rPr>
          <w:i/>
          <w:iCs/>
        </w:rPr>
        <w:t>DenseNet based speech imagery EEG signal classification using gramian angular field</w:t>
      </w:r>
      <w:r>
        <w:rPr/>
        <w:t xml:space="preserve">. </w:t>
      </w:r>
      <w:r>
        <w:rPr>
          <w:i/>
          <w:iCs/>
        </w:rPr>
        <w:t>2019 5th international conference on advances in electrical engineering (ICAEE)</w:t>
      </w:r>
      <w:r>
        <w:rPr/>
        <w:t>, : 149–154 doi:</w:t>
      </w:r>
      <w:hyperlink r:id="rId61">
        <w:r>
          <w:rPr>
            <w:rStyle w:val="InternetLink"/>
          </w:rPr>
          <w:t>10.1109/ICAEE48663.2019.8975572</w:t>
        </w:r>
      </w:hyperlink>
      <w:bookmarkEnd w:id="61"/>
    </w:p>
    <w:p>
      <w:pPr>
        <w:pStyle w:val="Bibliography"/>
        <w:rPr/>
      </w:pPr>
      <w:bookmarkStart w:id="62" w:name="ref-10902169"/>
      <w:r>
        <w:rPr/>
        <w:t xml:space="preserve">28. W. Chen, J. Yang, X. Zhong, E. S. Chng, M. Cai, </w:t>
      </w:r>
      <w:r>
        <w:rPr>
          <w:i/>
          <w:iCs/>
        </w:rPr>
        <w:t>Enhancing overlapped speech detection and speaker counting with spatially-infused spectro-temporal conformer</w:t>
      </w:r>
      <w:r>
        <w:rPr/>
        <w:t xml:space="preserve">. </w:t>
      </w:r>
      <w:r>
        <w:rPr>
          <w:i/>
          <w:iCs/>
        </w:rPr>
        <w:t>IEEE Transactions on Audio, Speech and Language Processing</w:t>
      </w:r>
      <w:r>
        <w:rPr/>
        <w:t>, 33(: 1307–1323 doi:</w:t>
      </w:r>
      <w:hyperlink r:id="rId62">
        <w:r>
          <w:rPr>
            <w:rStyle w:val="InternetLink"/>
          </w:rPr>
          <w:t>10.1109/TASLPRO.2025.3545255</w:t>
        </w:r>
      </w:hyperlink>
      <w:bookmarkEnd w:id="62"/>
    </w:p>
    <w:p>
      <w:pPr>
        <w:pStyle w:val="Bibliography"/>
        <w:rPr/>
      </w:pPr>
      <w:bookmarkStart w:id="63" w:name="ref-10856367"/>
      <w:r>
        <w:rPr/>
        <w:t xml:space="preserve">29. C. Fan, W. Xiang, J. Tao, J. Yi, Z. Lv, </w:t>
      </w:r>
      <w:r>
        <w:rPr>
          <w:i/>
          <w:iCs/>
        </w:rPr>
        <w:t>Cross-modal knowledge distillation with multi-stage adaptive feature fusion for speech separation</w:t>
      </w:r>
      <w:r>
        <w:rPr/>
        <w:t xml:space="preserve">. </w:t>
      </w:r>
      <w:r>
        <w:rPr>
          <w:i/>
          <w:iCs/>
        </w:rPr>
        <w:t>IEEE Transactions on Audio, Speech and Language Processing</w:t>
      </w:r>
      <w:r>
        <w:rPr/>
        <w:t>, 33(: 935–948 doi:</w:t>
      </w:r>
      <w:hyperlink r:id="rId63">
        <w:r>
          <w:rPr>
            <w:rStyle w:val="InternetLink"/>
          </w:rPr>
          <w:t>10.1109/TASLPRO.2025.3533359</w:t>
        </w:r>
      </w:hyperlink>
      <w:bookmarkEnd w:id="63"/>
    </w:p>
    <w:p>
      <w:pPr>
        <w:pStyle w:val="Bibliography"/>
        <w:rPr/>
      </w:pPr>
      <w:bookmarkStart w:id="64" w:name="ref-9673131"/>
      <w:r>
        <w:rPr/>
        <w:t xml:space="preserve">30. X. Wang, L. Zhu, S. Tang, H. Fu, P. Li, F. Wu, Y. Yang, Y. Zhuang, </w:t>
      </w:r>
      <w:r>
        <w:rPr>
          <w:i/>
          <w:iCs/>
        </w:rPr>
        <w:t>Boosting RGB-d saliency detection by leveraging unlabeled RGB images</w:t>
      </w:r>
      <w:r>
        <w:rPr/>
        <w:t xml:space="preserve">. </w:t>
      </w:r>
      <w:r>
        <w:rPr>
          <w:i/>
          <w:iCs/>
        </w:rPr>
        <w:t>IEEE Transactions on Image Processing</w:t>
      </w:r>
      <w:r>
        <w:rPr/>
        <w:t>, 31(: 1107–1119 doi:</w:t>
      </w:r>
      <w:hyperlink r:id="rId64">
        <w:r>
          <w:rPr>
            <w:rStyle w:val="InternetLink"/>
          </w:rPr>
          <w:t>10.1109/TIP.2021.3139232</w:t>
        </w:r>
      </w:hyperlink>
      <w:bookmarkEnd w:id="64"/>
    </w:p>
    <w:p>
      <w:pPr>
        <w:pStyle w:val="Bibliography"/>
        <w:rPr/>
      </w:pPr>
      <w:bookmarkStart w:id="65" w:name="ref-8362729"/>
      <w:r>
        <w:rPr/>
        <w:t xml:space="preserve">31. M. Ju, C. Ding, D. Zhang, Y. J. Guo, </w:t>
      </w:r>
      <w:r>
        <w:rPr>
          <w:i/>
          <w:iCs/>
        </w:rPr>
        <w:t>Gamma-correction-based visibility restoration for single hazy images</w:t>
      </w:r>
      <w:r>
        <w:rPr/>
        <w:t xml:space="preserve">. </w:t>
      </w:r>
      <w:r>
        <w:rPr>
          <w:i/>
          <w:iCs/>
        </w:rPr>
        <w:t>IEEE Signal Processing Letters</w:t>
      </w:r>
      <w:r>
        <w:rPr/>
        <w:t>, 25(7): 1084–1088 doi:</w:t>
      </w:r>
      <w:hyperlink r:id="rId65">
        <w:r>
          <w:rPr>
            <w:rStyle w:val="InternetLink"/>
          </w:rPr>
          <w:t>10.1109/LSP.2018.2839580</w:t>
        </w:r>
      </w:hyperlink>
      <w:bookmarkEnd w:id="65"/>
    </w:p>
    <w:p>
      <w:pPr>
        <w:pStyle w:val="Bibliography"/>
        <w:rPr/>
      </w:pPr>
      <w:bookmarkStart w:id="66" w:name="ref-9257189"/>
      <w:r>
        <w:rPr/>
        <w:t xml:space="preserve">32. S. Boukhtache, B. Blaysat, M. Grédiac, F. Berry, </w:t>
      </w:r>
      <w:r>
        <w:rPr>
          <w:i/>
          <w:iCs/>
        </w:rPr>
        <w:t>Alternatives to bicubic interpolation considering FPGA hardware resource consumption</w:t>
      </w:r>
      <w:r>
        <w:rPr/>
        <w:t xml:space="preserve">. </w:t>
      </w:r>
      <w:r>
        <w:rPr>
          <w:i/>
          <w:iCs/>
        </w:rPr>
        <w:t>IEEE Transactions on Very Large Scale Integration (VLSI) Systems</w:t>
      </w:r>
      <w:r>
        <w:rPr/>
        <w:t>, 29(2): 247–258 doi:</w:t>
      </w:r>
      <w:hyperlink r:id="rId66">
        <w:r>
          <w:rPr>
            <w:rStyle w:val="InternetLink"/>
          </w:rPr>
          <w:t>10.1109/TVLSI.2020.3032888</w:t>
        </w:r>
      </w:hyperlink>
      <w:bookmarkEnd w:id="66"/>
    </w:p>
    <w:p>
      <w:pPr>
        <w:pStyle w:val="Bibliography"/>
        <w:rPr/>
      </w:pPr>
      <w:bookmarkStart w:id="67" w:name="ref-4305279"/>
      <w:r>
        <w:rPr/>
        <w:t xml:space="preserve">33. L. Ji, Z. Yi, L. Shang, X. Pu, </w:t>
      </w:r>
      <w:r>
        <w:rPr>
          <w:i/>
          <w:iCs/>
        </w:rPr>
        <w:t>Binary fingerprint image thinning using template-based PCNNs</w:t>
      </w:r>
      <w:r>
        <w:rPr/>
        <w:t xml:space="preserve">. </w:t>
      </w:r>
      <w:r>
        <w:rPr>
          <w:i/>
          <w:iCs/>
        </w:rPr>
        <w:t>IEEE Transactions on Systems, Man, and Cybernetics, Part B (Cybernetics)</w:t>
      </w:r>
      <w:r>
        <w:rPr/>
        <w:t>, 37(5): 1407–1413 doi:</w:t>
      </w:r>
      <w:hyperlink r:id="rId67">
        <w:r>
          <w:rPr>
            <w:rStyle w:val="InternetLink"/>
          </w:rPr>
          <w:t>10.1109/TSMCB.2007.903369</w:t>
        </w:r>
      </w:hyperlink>
      <w:bookmarkEnd w:id="67"/>
    </w:p>
    <w:p>
      <w:pPr>
        <w:pStyle w:val="Bibliography"/>
        <w:rPr/>
      </w:pPr>
      <w:bookmarkStart w:id="68" w:name="ref-6338347"/>
      <w:r>
        <w:rPr/>
        <w:t xml:space="preserve">34. H. Qu, Z. Yi, S. X. Yang, </w:t>
      </w:r>
      <w:r>
        <w:rPr>
          <w:i/>
          <w:iCs/>
        </w:rPr>
        <w:t>Efficient shortest-path-tree computation in network routing based on pulse-coupled neural networks</w:t>
      </w:r>
      <w:r>
        <w:rPr/>
        <w:t xml:space="preserve">. </w:t>
      </w:r>
      <w:r>
        <w:rPr>
          <w:i/>
          <w:iCs/>
        </w:rPr>
        <w:t>IEEE Transactions on Cybernetics</w:t>
      </w:r>
      <w:r>
        <w:rPr/>
        <w:t>, 43(3): 995–1010 doi:</w:t>
      </w:r>
      <w:hyperlink r:id="rId68">
        <w:r>
          <w:rPr>
            <w:rStyle w:val="InternetLink"/>
          </w:rPr>
          <w:t>10.1109/TSMCB.2012.2221695</w:t>
        </w:r>
      </w:hyperlink>
      <w:bookmarkEnd w:id="68"/>
    </w:p>
    <w:p>
      <w:pPr>
        <w:pStyle w:val="Bibliography"/>
        <w:rPr/>
      </w:pPr>
      <w:bookmarkStart w:id="69" w:name="ref-10341267"/>
      <w:r>
        <w:rPr/>
        <w:t xml:space="preserve">35. G. Bai, W. Sun, C. Cao, D. Wang, Q. Sun, L. Sun, </w:t>
      </w:r>
      <w:r>
        <w:rPr>
          <w:i/>
          <w:iCs/>
        </w:rPr>
        <w:t>GAN-based bearing fault diagnosis method for short and imbalanced vibration signal</w:t>
      </w:r>
      <w:r>
        <w:rPr/>
        <w:t xml:space="preserve">. </w:t>
      </w:r>
      <w:r>
        <w:rPr>
          <w:i/>
          <w:iCs/>
        </w:rPr>
        <w:t>IEEE Sensors Journal</w:t>
      </w:r>
      <w:r>
        <w:rPr/>
        <w:t>, 24(2): 1894–1904 doi:</w:t>
      </w:r>
      <w:hyperlink r:id="rId69">
        <w:r>
          <w:rPr>
            <w:rStyle w:val="InternetLink"/>
          </w:rPr>
          <w:t>10.1109/JSEN.2023.3337278</w:t>
        </w:r>
      </w:hyperlink>
      <w:bookmarkEnd w:id="69"/>
    </w:p>
    <w:p>
      <w:pPr>
        <w:pStyle w:val="Bibliography"/>
        <w:rPr/>
      </w:pPr>
      <w:bookmarkStart w:id="70" w:name="ref-10848019"/>
      <w:r>
        <w:rPr/>
        <w:t xml:space="preserve">36. X. Deng, Y. Ma, </w:t>
      </w:r>
      <w:r>
        <w:rPr>
          <w:i/>
          <w:iCs/>
        </w:rPr>
        <w:t>PCNN model analysis and its automatic parameters determination in image segmentation and edge detection</w:t>
      </w:r>
      <w:r>
        <w:rPr/>
        <w:t xml:space="preserve">. </w:t>
      </w:r>
      <w:r>
        <w:rPr>
          <w:i/>
          <w:iCs/>
        </w:rPr>
        <w:t>Chinese Journal of Electronics</w:t>
      </w:r>
      <w:r>
        <w:rPr/>
        <w:t>, 23(1): 97–103 doi:</w:t>
      </w:r>
      <w:hyperlink r:id="rId70">
        <w:r>
          <w:rPr>
            <w:rStyle w:val="InternetLink"/>
          </w:rPr>
          <w:t>10.23919/CJE.2014.10848019</w:t>
        </w:r>
      </w:hyperlink>
      <w:bookmarkEnd w:id="70"/>
    </w:p>
    <w:p>
      <w:pPr>
        <w:pStyle w:val="Bibliography"/>
        <w:spacing w:before="0" w:after="200"/>
        <w:rPr/>
      </w:pPr>
      <w:bookmarkStart w:id="71" w:name="ref-hu2018senet"/>
      <w:r>
        <w:rPr/>
        <w:t xml:space="preserve">37. J. Hu, L. Shen, G. Sun, </w:t>
      </w:r>
      <w:r>
        <w:rPr>
          <w:i/>
          <w:iCs/>
        </w:rPr>
        <w:t>Squeeze-and-excitation networks</w:t>
      </w:r>
      <w:r>
        <w:rPr/>
        <w:t xml:space="preserve">. </w:t>
      </w:r>
      <w:r>
        <w:rPr>
          <w:i/>
          <w:iCs/>
        </w:rPr>
        <w:t>Proceedings of the IEEE conference on computer vision and pattern recognition (CVPR)</w:t>
      </w:r>
      <w:r>
        <w:rPr/>
        <w:t>, : 7132–7141 doi:</w:t>
      </w:r>
      <w:hyperlink r:id="rId71">
        <w:r>
          <w:rPr>
            <w:rStyle w:val="InternetLink"/>
          </w:rPr>
          <w:t>10.1109/CVPR.2018.00745</w:t>
        </w:r>
      </w:hyperlink>
      <w:bookmarkEnd w:id="33"/>
      <w:bookmarkEnd w:id="34"/>
      <w:bookmarkEnd w:id="7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4">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lowerLetter"/>
      <w:lvlText w:val="%2."/>
      <w:lvlJc w:val="start"/>
      <w:pPr>
        <w:tabs>
          <w:tab w:val="num" w:pos="0"/>
        </w:tabs>
        <w:ind w:start="1440" w:hanging="480"/>
      </w:pPr>
      <w:rPr/>
    </w:lvl>
    <w:lvl w:ilvl="2">
      <w:start w:val="1"/>
      <w:numFmt w:val="lowerRoman"/>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lowerLetter"/>
      <w:lvlText w:val="%5."/>
      <w:lvlJc w:val="start"/>
      <w:pPr>
        <w:tabs>
          <w:tab w:val="num" w:pos="0"/>
        </w:tabs>
        <w:ind w:start="3600" w:hanging="480"/>
      </w:pPr>
      <w:rPr/>
    </w:lvl>
    <w:lvl w:ilvl="5">
      <w:start w:val="1"/>
      <w:numFmt w:val="lowerRoman"/>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lowerLetter"/>
      <w:lvlText w:val="%8."/>
      <w:lvlJc w:val="start"/>
      <w:pPr>
        <w:tabs>
          <w:tab w:val="num" w:pos="0"/>
        </w:tabs>
        <w:ind w:start="5760" w:hanging="480"/>
      </w:pPr>
      <w:rPr/>
    </w:lvl>
    <w:lvl w:ilvl="8">
      <w:start w:val="1"/>
      <w:numFmt w:val="lowerRoman"/>
      <w:lvlText w:val="%9."/>
      <w:lvlJc w:val="start"/>
      <w:pPr>
        <w:tabs>
          <w:tab w:val="num" w:pos="0"/>
        </w:tabs>
        <w:ind w:start="6480" w:hanging="480"/>
      </w:pPr>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startOverride w:val="1"/>
    </w:lvlOverride>
  </w:num>
  <w:num w:numId="12">
    <w:abstractNumId w:val="2"/>
    <w:lvlOverride w:ilvl="0">
      <w:startOverride w:val="1"/>
    </w:lvlOverride>
  </w:num>
  <w:num w:numId="13">
    <w:abstractNumId w:val="2"/>
  </w:num>
  <w:num w:numId="14">
    <w:abstractNumId w:val="2"/>
  </w:num>
  <w:num w:numId="15">
    <w:abstractNumId w:val="2"/>
    <w:lvlOverride w:ilvl="0">
      <w:startOverride w:val="1"/>
    </w:lvlOverride>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bering>
</file>

<file path=word/settings.xml><?xml version="1.0" encoding="utf-8"?>
<w:settings xmlns:w="http://schemas.openxmlformats.org/wordprocessingml/2006/main">
  <w:zoom w:percent="11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start="480" w:end="480" w:hanging="0"/>
    </w:pPr>
    <w:rPr/>
  </w:style>
  <w:style w:type="paragraph" w:styleId="Footnote">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start="480" w:end="480" w:hanging="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7.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7.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hyperlink" Target="https://doi.org/10.1016/j.measurement.2025.119781" TargetMode="External"/><Relationship Id="rId36" Type="http://schemas.openxmlformats.org/officeDocument/2006/relationships/hyperlink" Target="https://doi.org/10.1109/TIM.2024.3384551" TargetMode="External"/><Relationship Id="rId37" Type="http://schemas.openxmlformats.org/officeDocument/2006/relationships/hyperlink" Target="https://doi.org/10.1016/j.measurement.2022.112408" TargetMode="External"/><Relationship Id="rId38" Type="http://schemas.openxmlformats.org/officeDocument/2006/relationships/hyperlink" Target="https://doi.org/10.1109/DDCLS61622.2024.10606641" TargetMode="External"/><Relationship Id="rId39" Type="http://schemas.openxmlformats.org/officeDocument/2006/relationships/hyperlink" Target="https://doi.org/10.1109/TPWRD.2007.899254" TargetMode="External"/><Relationship Id="rId40" Type="http://schemas.openxmlformats.org/officeDocument/2006/relationships/hyperlink" Target="https://doi.org/10.1109/ICMA.2016.7558591" TargetMode="External"/><Relationship Id="rId41" Type="http://schemas.openxmlformats.org/officeDocument/2006/relationships/hyperlink" Target="https://doi.org/10.1109/TIM.2022.3168929" TargetMode="External"/><Relationship Id="rId42" Type="http://schemas.openxmlformats.org/officeDocument/2006/relationships/hyperlink" Target="https://doi.org/10.1109/TIM.2025.3573012" TargetMode="External"/><Relationship Id="rId43" Type="http://schemas.openxmlformats.org/officeDocument/2006/relationships/hyperlink" Target="https://doi.org/10.1109/TPWRD.2009.2028800" TargetMode="External"/><Relationship Id="rId44" Type="http://schemas.openxmlformats.org/officeDocument/2006/relationships/hyperlink" Target="https://doi.org/10.1109/TSMCC.2008.2007253" TargetMode="External"/><Relationship Id="rId45" Type="http://schemas.openxmlformats.org/officeDocument/2006/relationships/hyperlink" Target="https://doi.org/10.48550/arXiv.2010.11929" TargetMode="External"/><Relationship Id="rId46" Type="http://schemas.openxmlformats.org/officeDocument/2006/relationships/hyperlink" Target="https://doi.org/10.48550/arXiv.1905.11946" TargetMode="External"/><Relationship Id="rId47" Type="http://schemas.openxmlformats.org/officeDocument/2006/relationships/hyperlink" Target="https://doi.org/10.1109/ICCV48922.2021.00986" TargetMode="External"/><Relationship Id="rId48" Type="http://schemas.openxmlformats.org/officeDocument/2006/relationships/hyperlink" Target="https://doi.org/10.1109/LGRS.2022.3209901" TargetMode="External"/><Relationship Id="rId49" Type="http://schemas.openxmlformats.org/officeDocument/2006/relationships/hyperlink" Target="https://doi.org/10.1016/j.ifacol.2022.09.070" TargetMode="External"/><Relationship Id="rId50" Type="http://schemas.openxmlformats.org/officeDocument/2006/relationships/hyperlink" Target="https://doi.org/10.1109/TII.2025.3555981" TargetMode="External"/><Relationship Id="rId51" Type="http://schemas.openxmlformats.org/officeDocument/2006/relationships/hyperlink" Target="https://doi.org/10.1109/OJCS.2025.3577588" TargetMode="External"/><Relationship Id="rId52" Type="http://schemas.openxmlformats.org/officeDocument/2006/relationships/hyperlink" Target="https://doi.org/10.1109/TGRS.2024.3411472" TargetMode="External"/><Relationship Id="rId53" Type="http://schemas.openxmlformats.org/officeDocument/2006/relationships/hyperlink" Target="https://doi.org/10.1016/j.measurement.2025.119319" TargetMode="External"/><Relationship Id="rId54" Type="http://schemas.openxmlformats.org/officeDocument/2006/relationships/hyperlink" Target="https://doi.org/10.1109/TASLP.2024.3507575" TargetMode="External"/><Relationship Id="rId55" Type="http://schemas.openxmlformats.org/officeDocument/2006/relationships/hyperlink" Target="https://doi.org/10.1016/j.measurement.2022.112408" TargetMode="External"/><Relationship Id="rId56" Type="http://schemas.openxmlformats.org/officeDocument/2006/relationships/hyperlink" Target="https://doi.org/10.1109/TASLPRO.2025.3592333" TargetMode="External"/><Relationship Id="rId57" Type="http://schemas.openxmlformats.org/officeDocument/2006/relationships/hyperlink" Target="https://doi.org/10.1109/TDEI.2008.4712660" TargetMode="External"/><Relationship Id="rId58" Type="http://schemas.openxmlformats.org/officeDocument/2006/relationships/hyperlink" Target="https://doi.org/10.1016/j.compeleceng.2012.10.002" TargetMode="External"/><Relationship Id="rId59" Type="http://schemas.openxmlformats.org/officeDocument/2006/relationships/hyperlink" Target="https://doi.org/10.1109/AEEES56888.2023.10114345" TargetMode="External"/><Relationship Id="rId60" Type="http://schemas.openxmlformats.org/officeDocument/2006/relationships/hyperlink" Target="https://doi.org/10.1109/IGARSS52108.2023.10281942" TargetMode="External"/><Relationship Id="rId61" Type="http://schemas.openxmlformats.org/officeDocument/2006/relationships/hyperlink" Target="https://doi.org/10.1109/ICAEE48663.2019.8975572" TargetMode="External"/><Relationship Id="rId62" Type="http://schemas.openxmlformats.org/officeDocument/2006/relationships/hyperlink" Target="https://doi.org/10.1109/TASLPRO.2025.3545255" TargetMode="External"/><Relationship Id="rId63" Type="http://schemas.openxmlformats.org/officeDocument/2006/relationships/hyperlink" Target="https://doi.org/10.1109/TASLPRO.2025.3533359" TargetMode="External"/><Relationship Id="rId64" Type="http://schemas.openxmlformats.org/officeDocument/2006/relationships/hyperlink" Target="https://doi.org/10.1109/TIP.2021.3139232" TargetMode="External"/><Relationship Id="rId65" Type="http://schemas.openxmlformats.org/officeDocument/2006/relationships/hyperlink" Target="https://doi.org/10.1109/LSP.2018.2839580" TargetMode="External"/><Relationship Id="rId66" Type="http://schemas.openxmlformats.org/officeDocument/2006/relationships/hyperlink" Target="https://doi.org/10.1109/TVLSI.2020.3032888" TargetMode="External"/><Relationship Id="rId67" Type="http://schemas.openxmlformats.org/officeDocument/2006/relationships/hyperlink" Target="https://doi.org/10.1109/TSMCB.2007.903369" TargetMode="External"/><Relationship Id="rId68" Type="http://schemas.openxmlformats.org/officeDocument/2006/relationships/hyperlink" Target="https://doi.org/10.1109/TSMCB.2012.2221695" TargetMode="External"/><Relationship Id="rId69" Type="http://schemas.openxmlformats.org/officeDocument/2006/relationships/hyperlink" Target="https://doi.org/10.1109/JSEN.2023.3337278" TargetMode="External"/><Relationship Id="rId70" Type="http://schemas.openxmlformats.org/officeDocument/2006/relationships/hyperlink" Target="https://doi.org/10.23919/CJE.2014.10848019" TargetMode="External"/><Relationship Id="rId71" Type="http://schemas.openxmlformats.org/officeDocument/2006/relationships/hyperlink" Target="https://doi.org/10.1109/CVPR.2018.00745" TargetMode="External"/><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LibreOffice/7.3.7.2$Linux_X86_64 LibreOffice_project/30$Build-2</Application>
  <AppVersion>15.0000</AppVersion>
  <Pages>28</Pages>
  <Words>6639</Words>
  <Characters>42104</Characters>
  <CharactersWithSpaces>48197</CharactersWithSpaces>
  <Paragraphs>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2026-08-01T10:49:45Z</dcterms:created>
  <dc:creator/>
  <dc:description/>
  <dc:language>en-US</dc:language>
  <cp:lastModifiedBy/>
  <dcterms:modified xsi:type="dcterms:W3CDTF">2026-08-01T20:57:18Z</dcterms:modified>
  <cp:revision>10</cp:revision>
  <dc:subject/>
  <dc:title>Acoustic-Based Failure Analysis of Power Transformers Using Multi-Modal Feature Fusion and Physics-Informed Representation Learning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fault diagnosis of power transformers is critical for power system reliability. While acoustic-based diagnosis offers non-contact measurement and low sensor cost, existing methods struggle with single-modality representations, background noise, and limited labeled data. This paper proposes a multi-modal framework integrating Mel spectrograms with Gramian Angular Difference Fields (GADF) into three-channel fused representations, enhanced by a Pulse-Coupled Neural Network (PCNN) for noise suppression. A physics-informed Laplacian regularization, derived from the acoustic Helmholtz equation, constrains learned features toward physically smooth solutions. Evaluated on a real-world transformer dataset of five conditions with session-aware data partitioning, the method is validated through component-wise ablation and comparative studies against representative baselines. The proposed framework achieves state-of-the-art accuracy and maintains robust performance under low signal-to-noise ratio conditions, outperforming seven representative methods including Vision Transformer, EfficientNet, Swin Transformer, and end-to-end 1D-CNN.</vt:lpwstr>
  </property>
  <property fmtid="{D5CDD505-2E9C-101B-9397-08002B2CF9AE}" pid="3" name="bibliography">
    <vt:lpwstr>references.bib</vt:lpwstr>
  </property>
  <property fmtid="{D5CDD505-2E9C-101B-9397-08002B2CF9AE}" pid="4" name="csl">
    <vt:lpwstr>numeric.csl</vt:lpwstr>
  </property>
</Properties>
</file>