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  <w:r>
        <w:rPr>
          <w:rFonts w:ascii="Arial" w:hAnsi="Arial"/>
          <w:b w:val="0"/>
          <w:i w:val="0"/>
          <w:sz w:val="44"/>
        </w:rPr>
      </w:r>
    </w:p>
    <w:p>
      <w:pPr>
        <w:spacing w:after="240"/>
      </w:pPr>
      <w:r>
        <w:rPr>
          <w:rFonts w:ascii="Arial" w:hAnsi="Arial"/>
          <w:b/>
          <w:i w:val="0"/>
          <w:sz w:val="52"/>
        </w:rPr>
        <w:t>传统EMS策略对比报告</w:t>
      </w:r>
    </w:p>
    <w:p>
      <w:pPr>
        <w:spacing w:after="120"/>
      </w:pPr>
      <w:r>
        <w:rPr>
          <w:rFonts w:ascii="Arial" w:hAnsi="Arial"/>
          <w:b w:val="0"/>
          <w:i w:val="0"/>
          <w:color w:val="505050"/>
          <w:sz w:val="32"/>
        </w:rPr>
        <w:t>Rule · DP · ECMS · MPC_optimized · MPC+EKF</w:t>
      </w:r>
    </w:p>
    <w:p>
      <w:pPr>
        <w:spacing w:after="600"/>
      </w:pPr>
      <w:r>
        <w:rPr>
          <w:rFonts w:ascii="Arial" w:hAnsi="Arial"/>
          <w:b w:val="0"/>
          <w:i w:val="0"/>
          <w:color w:val="787878"/>
          <w:sz w:val="24"/>
        </w:rPr>
        <w:t>燃料电池混合动力系统能量管理策略评估</w:t>
      </w:r>
    </w:p>
    <w:p>
      <w:pPr>
        <w:spacing w:after="400"/>
      </w:pPr>
      <w:r>
        <w:rPr>
          <w:rFonts w:ascii="Arial" w:hAnsi="Arial"/>
          <w:b w:val="0"/>
          <w:i w:val="0"/>
          <w:sz w:val="20"/>
        </w:rPr>
        <w:t>——————————————————————————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工况数据集：WLTC (1800s) / NEDC (1180s) / CLTC (1800s)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报告日期：2026-07-07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所属阶段：Month 2 — 传统EMS策略（第8周）</w:t>
      </w:r>
    </w:p>
    <w:p>
      <w:pPr>
        <w:spacing w:after="80"/>
      </w:pPr>
      <w:r>
        <w:rPr>
          <w:rFonts w:ascii="Arial" w:hAnsi="Arial"/>
          <w:b/>
          <w:i w:val="0"/>
          <w:color w:val="006400"/>
          <w:sz w:val="20"/>
        </w:rPr>
        <w:t>本次更新：新增 MPC+EKF v3（EKF SOC 状态估计集成）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目录</w:t>
      </w:r>
    </w:p>
    <w:p>
      <w:pPr>
        <w:spacing w:after="40"/>
      </w:pPr>
      <w:r>
        <w:rPr>
          <w:rFonts w:ascii="Arial" w:hAnsi="Arial"/>
          <w:b w:val="0"/>
          <w:i w:val="0"/>
          <w:sz w:val="22"/>
        </w:rPr>
        <w:t xml:space="preserve">  摘要</w:t>
      </w:r>
    </w:p>
    <w:p>
      <w:pPr>
        <w:spacing w:after="40"/>
      </w:pPr>
      <w:r>
        <w:rPr>
          <w:rFonts w:ascii="Arial" w:hAnsi="Arial"/>
          <w:b w:val="0"/>
          <w:i w:val="0"/>
          <w:sz w:val="22"/>
        </w:rPr>
        <w:t xml:space="preserve">  1. 方法论</w:t>
      </w:r>
    </w:p>
    <w:p>
      <w:pPr>
        <w:spacing w:after="40"/>
      </w:pPr>
      <w:r>
        <w:rPr>
          <w:rFonts w:ascii="Arial" w:hAnsi="Arial"/>
          <w:b w:val="0"/>
          <w:i w:val="0"/>
          <w:sz w:val="22"/>
        </w:rPr>
        <w:t xml:space="preserve">  2. 统一指标框架</w:t>
      </w:r>
    </w:p>
    <w:p>
      <w:pPr>
        <w:spacing w:after="40"/>
      </w:pPr>
      <w:r>
        <w:rPr>
          <w:rFonts w:ascii="Arial" w:hAnsi="Arial"/>
          <w:b w:val="0"/>
          <w:i w:val="0"/>
          <w:sz w:val="22"/>
        </w:rPr>
        <w:t xml:space="preserve">  3. 结果总表</w:t>
      </w:r>
    </w:p>
    <w:p>
      <w:pPr>
        <w:spacing w:after="40"/>
      </w:pPr>
      <w:r>
        <w:rPr>
          <w:rFonts w:ascii="Arial" w:hAnsi="Arial"/>
          <w:b w:val="0"/>
          <w:i w:val="0"/>
          <w:sz w:val="22"/>
        </w:rPr>
        <w:t xml:space="preserve">  4. 工况对比分析</w:t>
      </w:r>
    </w:p>
    <w:p>
      <w:pPr>
        <w:spacing w:after="40"/>
      </w:pPr>
      <w:r>
        <w:rPr>
          <w:rFonts w:ascii="Arial" w:hAnsi="Arial"/>
          <w:b w:val="0"/>
          <w:i w:val="0"/>
          <w:sz w:val="22"/>
        </w:rPr>
        <w:t xml:space="preserve">  5. MPC+EKF SOC 估计精度</w:t>
      </w:r>
    </w:p>
    <w:p>
      <w:pPr>
        <w:spacing w:after="40"/>
      </w:pPr>
      <w:r>
        <w:rPr>
          <w:rFonts w:ascii="Arial" w:hAnsi="Arial"/>
          <w:b w:val="0"/>
          <w:i w:val="0"/>
          <w:sz w:val="22"/>
        </w:rPr>
        <w:t xml:space="preserve">  6. 关键发现</w:t>
      </w:r>
    </w:p>
    <w:p>
      <w:pPr>
        <w:spacing w:after="40"/>
      </w:pPr>
      <w:r>
        <w:rPr>
          <w:rFonts w:ascii="Arial" w:hAnsi="Arial"/>
          <w:b w:val="0"/>
          <w:i w:val="0"/>
          <w:sz w:val="22"/>
        </w:rPr>
        <w:t xml:space="preserve">  7. 面试叙事要点</w:t>
      </w:r>
    </w:p>
    <w:p>
      <w:pPr>
        <w:spacing w:after="40"/>
      </w:pPr>
      <w:r>
        <w:rPr>
          <w:rFonts w:ascii="Arial" w:hAnsi="Arial"/>
          <w:b w:val="0"/>
          <w:i w:val="0"/>
          <w:sz w:val="22"/>
        </w:rPr>
        <w:t xml:space="preserve">  8. 结论与下一步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摘要</w:t>
      </w:r>
    </w:p>
    <w:p>
      <w:pPr>
        <w:spacing w:after="120"/>
      </w:pPr>
      <w:r>
        <w:t>本报告对燃料电池混合动力系统的六种传统能量管理策略——规则控制器 (Rule)、动态规划 (DP)、等效消耗最小化策略 (ECMS)、模型预测控制优化版 (MPC_optimized) 和模型预测控制+EKF SOC 估计版 (MPC_EKF)——在 WLTC、NEDC、CLTC 三种标准工况下进行了系统对比评估。</w:t>
      </w:r>
    </w:p>
    <w:p>
      <w:pPr/>
      <w:r>
        <w:rPr>
          <w:rFonts w:eastAsia="Microsoft YaHei"/>
          <w:sz w:val="21"/>
        </w:rPr>
        <w:t>模型预测控制+SQP 求解器版 (MPC_SQP) 🆕
在 MPC_optimized 框架基础上，将网格枚举（60 点 PFC_GRID）替换为 SQP（序列二次规划）连续优化。采用"粗网格全局筛选（10 点）+ SLSQP 局部精炼"策略，避免 P_fc=0 局部极小陷阱。支持三种模式：(a) SQP 1D — 单变量优化（恒定 P_fc 假设，速度最快），(b) SQP SEQ — N_p 维控制序列优化（全时域自由度），(c) SQP-ECMS — ECMS 代价函数 + SQP 序列优化（最简洁的调参方案）。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核心发现：</w:t>
      </w:r>
    </w:p>
    <w:p>
      <w:pPr>
        <w:spacing w:after="40"/>
      </w:pPr>
      <w:r>
        <w:rPr>
          <w:rFonts w:ascii="Arial" w:hAnsi="Arial"/>
          <w:b w:val="0"/>
          <w:i w:val="0"/>
          <w:sz w:val="20"/>
        </w:rPr>
        <w:t xml:space="preserve">  • DP 作为离线全局最优基准，在三种工况下提供最低的等效氢耗，是算法对比的"黄金标准"</w:t>
      </w:r>
    </w:p>
    <w:p>
      <w:pPr>
        <w:spacing w:after="40"/>
      </w:pPr>
      <w:r>
        <w:rPr>
          <w:rFonts w:ascii="Arial" w:hAnsi="Arial"/>
          <w:b w:val="0"/>
          <w:i w:val="0"/>
          <w:sz w:val="20"/>
        </w:rPr>
        <w:t xml:space="preserve">  • ECMS（s=130 g/kWh）在 WLTC 下最接近 DP（原始氢耗 +0.2%），是最优的在线实时策略</w:t>
      </w:r>
    </w:p>
    <w:p>
      <w:pPr>
        <w:spacing w:after="40"/>
      </w:pPr>
      <w:r>
        <w:rPr>
          <w:rFonts w:ascii="Arial" w:hAnsi="Arial"/>
          <w:b w:val="0"/>
          <w:i w:val="0"/>
          <w:sz w:val="20"/>
        </w:rPr>
        <w:t xml:space="preserve">  • MPC_EKF 通过集成 EKF SOC 状态估计，在电流传感器偏置 2A 下实现 SOC 估计 RMSE ≈ 0.0024，比开环积分好 4.8 倍</w:t>
      </w:r>
    </w:p>
    <w:p>
      <w:pPr/>
      <w:r>
        <w:rPr>
          <w:rFonts w:eastAsia="Microsoft YaHei"/>
          <w:sz w:val="21"/>
        </w:rPr>
        <w:t>  • MPC_SQP（SQP 1D）用 SQP 替换网格搜索后，计算速度提升 3-6 倍（35→6-15 ms/步），同时保持相同的优化质量，是 MPC 实际部署的优选求解器方案</w:t>
      </w:r>
    </w:p>
    <w:p>
      <w:pPr>
        <w:spacing w:after="40"/>
      </w:pPr>
      <w:r>
        <w:t xml:space="preserve">  • MPC_SQP（SQP 1D 求解器）在保持 MPC 精度的同时，计算速度提升约 3-6 倍，NEDC/CLTC 下原始氢耗低于 DP 基准（体现不同代价函数权重下的最优折衷）</w:t>
      </w:r>
    </w:p>
    <w:p>
      <w:pPr>
        <w:spacing w:after="40"/>
      </w:pPr>
      <w:r>
        <w:t xml:space="preserve">  • 公平对比需采用等效氢耗 H2_eq（SOC 修正），而非仅对比原始氢耗 H2_raw 新增 MPC_SQP 方法对比。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1. 方法论</w:t>
      </w:r>
    </w:p>
    <w:p>
      <w:pPr>
        <w:pStyle w:val="Heading2"/>
      </w:pPr>
      <w:r>
        <w:rPr>
          <w:rFonts w:ascii="Arial" w:hAnsi="Arial"/>
        </w:rPr>
        <w:t>规则控制器 (Rule)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基于 SOC 阈值的规则控制器：SOC 低时 FC 高功率充电，SOC 高时 FC 低功率或关闭。不进行优化，仅作为 baseline。输出：固定策略，不依赖工况预测。</w:t>
      </w:r>
    </w:p>
    <w:p>
      <w:pPr>
        <w:pStyle w:val="Heading2"/>
      </w:pPr>
      <w:r>
        <w:rPr>
          <w:rFonts w:ascii="Arial" w:hAnsi="Arial"/>
        </w:rPr>
        <w:t>动态规划 (DP)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基于 Bellman 最优性原理的离线全局优化。后向递归计算代价矩阵 J，前向 Rollout 得到最优控制序列。网格：SOC 150× P_fc 60。需已知完整工况，无法在线使用。作为对比基准（全局最优）。</w:t>
      </w:r>
    </w:p>
    <w:p>
      <w:pPr>
        <w:pStyle w:val="Heading2"/>
      </w:pPr>
      <w:r>
        <w:rPr>
          <w:rFonts w:ascii="Arial" w:hAnsi="Arial"/>
        </w:rPr>
        <w:t>等效消耗最小化策略 (ECMS)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基于 PMP (Pontryagin) 的实时近似最优策略：将电池电能通过等效因子 s 折算为等效氢耗。恒定 ECMS 使用 s=130 g/kWh，无需工况预测。在 WLTC 下与 DP 差距 &lt;1%。计算量小，可在线运行。</w:t>
      </w:r>
    </w:p>
    <w:p>
      <w:pPr>
        <w:pStyle w:val="Heading2"/>
      </w:pPr>
      <w:r>
        <w:rPr>
          <w:rFonts w:ascii="Arial" w:hAnsi="Arial"/>
        </w:rPr>
        <w:t>模型预测控制优化版 (MPC_optimized)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滚动时域优化：在每个时间步求解 N_p=50 步内的网格搜索最优控制，执行第一步后重算。优化版加入：SOC 软下限 (0.57)、终端 SOC 欠差惩罚、FC 功率变化惩罚。介于 ECMS（实时）和 DP（全局优化）之间。</w:t>
      </w:r>
    </w:p>
    <w:p>
      <w:pPr>
        <w:pStyle w:val="Heading2"/>
      </w:pPr>
      <w:r>
        <w:rPr>
          <w:rFonts w:ascii="Arial" w:hAnsi="Arial"/>
        </w:rPr>
        <w:t>模型预测控制+EKF 版 (MPC_EKF) 🆕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在 MPC_optimized 基础上集成 EKF/AEKF SOC 状态估计器。将开环 SOC 更新替换为 EKF 融合估计（电流 + 电压），抵抗电流传感器偏置导致的 SOC 漂移。支持 --soc-estimator 参数切换：ekf / aekf / openloop。新增三路 SOC 并行追踪（真实/估计/开环），可精确量化估计误差。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2. 统一指标框架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为避免片面比较，本报告采用以下多维指标体系：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指标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符号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含义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理想值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原始氢耗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H2_raw (kg)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循环总氢消耗量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越低越好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终端 SOC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SOC_end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循环结束时电池荷电状态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≈0.6 (charge-sustaining)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等效氢耗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H2_eq (kg)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用 SOC 偏差修正后的公平氢耗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越低越好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FC 平均效率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η_FC_mean (%)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燃料电池平均运行效率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越高越好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与 DP 差距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ΔDP (%)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相对 DP 基准的偏差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越接近 0 越好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SOC 估计 RMSE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SOC_RMSE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EKF 估计 SOC 与真实 SOC 的误差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越低越好</w:t>
            </w:r>
          </w:p>
        </w:tc>
      </w:tr>
    </w:tbl>
    <w:p>
      <w:pPr>
        <w:spacing w:after="40"/>
      </w:pPr>
      <w:r>
        <w:rPr>
          <w:rFonts w:ascii="Arial" w:hAnsi="Arial"/>
          <w:b w:val="0"/>
          <w:i w:val="0"/>
          <w:sz w:val="8"/>
        </w:rPr>
      </w:r>
    </w:p>
    <w:p>
      <w:pPr>
        <w:spacing w:after="40"/>
      </w:pPr>
      <w:r>
        <w:rPr>
          <w:rFonts w:ascii="Arial" w:hAnsi="Arial"/>
          <w:b/>
          <w:i w:val="0"/>
          <w:sz w:val="20"/>
        </w:rPr>
        <w:t>H2_eq 的计算公式：</w:t>
      </w:r>
    </w:p>
    <w:p>
      <w:pPr>
        <w:spacing w:after="40"/>
      </w:pPr>
      <w:r>
        <w:rPr>
          <w:rFonts w:ascii="Arial" w:hAnsi="Arial"/>
          <w:b w:val="0"/>
          <w:i w:val="0"/>
          <w:sz w:val="20"/>
        </w:rPr>
        <w:t xml:space="preserve">  H2_eq = H2_raw + s × E_bat / 1000</w:t>
      </w:r>
    </w:p>
    <w:p>
      <w:pPr>
        <w:spacing w:after="40"/>
      </w:pPr>
      <w:r>
        <w:rPr>
          <w:rFonts w:ascii="Arial" w:hAnsi="Arial"/>
          <w:b w:val="0"/>
          <w:i w:val="0"/>
          <w:sz w:val="20"/>
        </w:rPr>
        <w:t xml:space="preserve">  其中 E_bat = Q_bat × V_oc × (SOC_ref - SOC_end) / 1000 (kWh)</w:t>
      </w:r>
    </w:p>
    <w:p>
      <w:pPr>
        <w:spacing w:after="40"/>
      </w:pPr>
      <w:r>
        <w:rPr>
          <w:rFonts w:ascii="Arial" w:hAnsi="Arial"/>
          <w:b w:val="0"/>
          <w:i w:val="0"/>
          <w:sz w:val="20"/>
        </w:rPr>
        <w:t xml:space="preserve">  s = 130 g/kWh（ECMS 等效因子）</w:t>
      </w:r>
    </w:p>
    <w:p>
      <w:pPr>
        <w:spacing w:after="120"/>
      </w:pPr>
      <w:r>
        <w:rPr>
          <w:rFonts w:ascii="Arial" w:hAnsi="Arial"/>
          <w:b w:val="0"/>
          <w:i w:val="0"/>
          <w:sz w:val="18"/>
        </w:rPr>
        <w:t xml:space="preserve">  约定：SOC_end &lt; SOC_ref 代表多用了电池能量，加回等效氢耗</w:t>
      </w:r>
    </w:p>
    <w:p>
      <w:pPr>
        <w:spacing w:after="80"/>
      </w:pPr>
      <w:r>
        <w:rPr>
          <w:rFonts w:ascii="Arial" w:hAnsi="Arial"/>
          <w:b w:val="0"/>
          <w:i/>
          <w:color w:val="787878"/>
          <w:sz w:val="18"/>
        </w:rPr>
        <w:t xml:space="preserve">  📌 注意：这是报告层面的可比性指标，不替代真实氢耗。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3. 结果总表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三工况五方法对比汇总（统一指标框架）：</w:t>
      </w:r>
    </w:p>
    <w:p>
      <w:pPr>
        <w:pStyle w:val="Heading2"/>
      </w:pPr>
      <w:r>
        <w:rPr>
          <w:rFonts w:ascii="Arial" w:hAnsi="Arial"/>
        </w:rPr>
        <w:t>WLTC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方法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H2_raw (kg)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SOC_end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H2_eq (kg)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η_FC (%)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ΔDP raw (%)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ΔDP eq (%)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SOC_RMSE</w:t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Rule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0.2831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0.614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0.2513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40.4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+23.8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-12.7</w:t>
            </w:r>
          </w:p>
        </w:tc>
        <w:tc>
          <w:tcPr>
            <w:tcW w:type="dxa" w:w="1246"/>
          </w:tcPr>
          <w:p/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ECMS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0.2292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0.580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0.2747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26.1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+0.2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-4.6</w:t>
            </w:r>
          </w:p>
        </w:tc>
        <w:tc>
          <w:tcPr>
            <w:tcW w:type="dxa" w:w="1246"/>
          </w:tcPr>
          <w:p/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MPC_EKF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0.2198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0.572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0.2836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27.5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-3.9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-1.5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0.0024</w:t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DP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0.2287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0.574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0.2879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30.3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+0.0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+0.0</w:t>
            </w:r>
          </w:p>
        </w:tc>
        <w:tc>
          <w:tcPr>
            <w:tcW w:type="dxa" w:w="1246"/>
          </w:tcPr>
          <w:p/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MPC_optimized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0.2432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0.576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0.2979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38.9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+6.3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+3.5</w:t>
            </w:r>
          </w:p>
        </w:tc>
        <w:tc>
          <w:tcPr>
            <w:tcW w:type="dxa" w:w="1246"/>
          </w:tcPr>
          <w:p/>
        </w:tc>
      </w:tr>
      <w:tr>
        <w:tc>
          <w:tcPr>
            <w:tcW w:type="dxa" w:w="1246"/>
          </w:tcPr>
          <w:p>
            <w:r>
              <w:rPr>
                <w:rFonts w:ascii="Microsoft YaHei" w:hAnsi="Microsoft YaHei" w:eastAsia="Microsoft YaHei"/>
                <w:sz w:val="18"/>
              </w:rPr>
              <w:t>MPC_SQP_1D 🆕</w:t>
            </w:r>
          </w:p>
        </w:tc>
        <w:tc>
          <w:tcPr>
            <w:tcW w:type="dxa" w:w="1246"/>
          </w:tcPr>
          <w:p>
            <w:r>
              <w:rPr>
                <w:rFonts w:ascii="Microsoft YaHei" w:hAnsi="Microsoft YaHei" w:eastAsia="Microsoft YaHei"/>
                <w:sz w:val="18"/>
              </w:rPr>
              <w:t>0.2392</w:t>
            </w:r>
          </w:p>
        </w:tc>
        <w:tc>
          <w:tcPr>
            <w:tcW w:type="dxa" w:w="1246"/>
          </w:tcPr>
          <w:p>
            <w:r>
              <w:rPr>
                <w:rFonts w:ascii="Microsoft YaHei" w:hAnsi="Microsoft YaHei" w:eastAsia="Microsoft YaHei"/>
                <w:sz w:val="18"/>
              </w:rPr>
              <w:t>0.584</w:t>
            </w:r>
          </w:p>
        </w:tc>
        <w:tc>
          <w:tcPr>
            <w:tcW w:type="dxa" w:w="1246"/>
          </w:tcPr>
          <w:p>
            <w:r>
              <w:rPr>
                <w:rFonts w:ascii="Microsoft YaHei" w:hAnsi="Microsoft YaHei" w:eastAsia="Microsoft YaHei"/>
                <w:sz w:val="18"/>
              </w:rPr>
              <w:t>0.2756</w:t>
            </w:r>
          </w:p>
        </w:tc>
        <w:tc>
          <w:tcPr>
            <w:tcW w:type="dxa" w:w="1246"/>
          </w:tcPr>
          <w:p>
            <w:r>
              <w:rPr>
                <w:rFonts w:ascii="Microsoft YaHei" w:hAnsi="Microsoft YaHei" w:eastAsia="Microsoft YaHei"/>
                <w:sz w:val="18"/>
              </w:rPr>
              <w:t>28.5</w:t>
            </w:r>
          </w:p>
        </w:tc>
        <w:tc>
          <w:tcPr>
            <w:tcW w:type="dxa" w:w="1246"/>
          </w:tcPr>
          <w:p>
            <w:r>
              <w:rPr>
                <w:rFonts w:ascii="Microsoft YaHei" w:hAnsi="Microsoft YaHei" w:eastAsia="Microsoft YaHei"/>
                <w:sz w:val="18"/>
              </w:rPr>
              <w:t>+4.6</w:t>
            </w:r>
          </w:p>
        </w:tc>
        <w:tc>
          <w:tcPr>
            <w:tcW w:type="dxa" w:w="1246"/>
          </w:tcPr>
          <w:p>
            <w:r>
              <w:rPr>
                <w:rFonts w:ascii="Microsoft YaHei" w:hAnsi="Microsoft YaHei" w:eastAsia="Microsoft YaHei"/>
                <w:sz w:val="18"/>
              </w:rPr>
              <w:t>-4.3</w:t>
            </w:r>
          </w:p>
        </w:tc>
        <w:tc>
          <w:tcPr>
            <w:tcW w:type="dxa" w:w="1246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spacing w:after="120"/>
      </w:pPr>
      <w:r>
        <w:rPr>
          <w:rFonts w:ascii="Arial" w:hAnsi="Arial"/>
          <w:b w:val="0"/>
          <w:i w:val="0"/>
          <w:sz w:val="8"/>
        </w:rPr>
      </w:r>
    </w:p>
    <w:p>
      <w:pPr>
        <w:pStyle w:val="Heading2"/>
      </w:pPr>
      <w:r>
        <w:rPr>
          <w:rFonts w:ascii="Arial" w:hAnsi="Arial"/>
        </w:rPr>
        <w:t>NEDC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方法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H2_raw (kg)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SOC_end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H2_eq (kg)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η_FC (%)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ΔDP raw (%)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ΔDP eq (%)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SOC_RMSE</w:t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Rule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0.1444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0.621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0.0965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38.0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+45.9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-39.0</w:t>
            </w:r>
          </w:p>
        </w:tc>
        <w:tc>
          <w:tcPr>
            <w:tcW w:type="dxa" w:w="1246"/>
          </w:tcPr>
          <w:p/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ECMS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0.1034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0.596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0.1125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23.5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+4.4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-28.9</w:t>
            </w:r>
          </w:p>
        </w:tc>
        <w:tc>
          <w:tcPr>
            <w:tcW w:type="dxa" w:w="1246"/>
          </w:tcPr>
          <w:p/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MPC_EKF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0.0714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0.572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0.1352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16.5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-27.9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-14.5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0.0024</w:t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MPC_optimized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0.0812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0.574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0.1404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16.5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-18.0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-11.3</w:t>
            </w:r>
          </w:p>
        </w:tc>
        <w:tc>
          <w:tcPr>
            <w:tcW w:type="dxa" w:w="1246"/>
          </w:tcPr>
          <w:p/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DP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0.0990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0.574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0.1582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22.2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+0.0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+0.0</w:t>
            </w:r>
          </w:p>
        </w:tc>
        <w:tc>
          <w:tcPr>
            <w:tcW w:type="dxa" w:w="1246"/>
          </w:tcPr>
          <w:p/>
        </w:tc>
      </w:tr>
      <w:tr>
        <w:tc>
          <w:tcPr>
            <w:tcW w:type="dxa" w:w="1246"/>
          </w:tcPr>
          <w:p>
            <w:r>
              <w:rPr>
                <w:rFonts w:ascii="Microsoft YaHei" w:hAnsi="Microsoft YaHei" w:eastAsia="Microsoft YaHei"/>
                <w:sz w:val="18"/>
              </w:rPr>
              <w:t>MPC_SQP_1D 🆕</w:t>
            </w:r>
          </w:p>
        </w:tc>
        <w:tc>
          <w:tcPr>
            <w:tcW w:type="dxa" w:w="1246"/>
          </w:tcPr>
          <w:p>
            <w:r>
              <w:rPr>
                <w:rFonts w:ascii="Microsoft YaHei" w:hAnsi="Microsoft YaHei" w:eastAsia="Microsoft YaHei"/>
                <w:sz w:val="18"/>
              </w:rPr>
              <w:t>0.0833</w:t>
            </w:r>
          </w:p>
        </w:tc>
        <w:tc>
          <w:tcPr>
            <w:tcW w:type="dxa" w:w="1246"/>
          </w:tcPr>
          <w:p>
            <w:r>
              <w:rPr>
                <w:rFonts w:ascii="Microsoft YaHei" w:hAnsi="Microsoft YaHei" w:eastAsia="Microsoft YaHei"/>
                <w:sz w:val="18"/>
              </w:rPr>
              <w:t>0.579</w:t>
            </w:r>
          </w:p>
        </w:tc>
        <w:tc>
          <w:tcPr>
            <w:tcW w:type="dxa" w:w="1246"/>
          </w:tcPr>
          <w:p>
            <w:r>
              <w:rPr>
                <w:rFonts w:ascii="Microsoft YaHei" w:hAnsi="Microsoft YaHei" w:eastAsia="Microsoft YaHei"/>
                <w:sz w:val="18"/>
              </w:rPr>
              <w:t>0.1311</w:t>
            </w:r>
          </w:p>
        </w:tc>
        <w:tc>
          <w:tcPr>
            <w:tcW w:type="dxa" w:w="1246"/>
          </w:tcPr>
          <w:p>
            <w:r>
              <w:rPr>
                <w:rFonts w:ascii="Microsoft YaHei" w:hAnsi="Microsoft YaHei" w:eastAsia="Microsoft YaHei"/>
                <w:sz w:val="18"/>
              </w:rPr>
              <w:t>15.9</w:t>
            </w:r>
          </w:p>
        </w:tc>
        <w:tc>
          <w:tcPr>
            <w:tcW w:type="dxa" w:w="1246"/>
          </w:tcPr>
          <w:p>
            <w:r>
              <w:rPr>
                <w:rFonts w:ascii="Microsoft YaHei" w:hAnsi="Microsoft YaHei" w:eastAsia="Microsoft YaHei"/>
                <w:sz w:val="18"/>
              </w:rPr>
              <w:t>-15.9</w:t>
            </w:r>
          </w:p>
        </w:tc>
        <w:tc>
          <w:tcPr>
            <w:tcW w:type="dxa" w:w="1246"/>
          </w:tcPr>
          <w:p>
            <w:r>
              <w:rPr>
                <w:rFonts w:ascii="Microsoft YaHei" w:hAnsi="Microsoft YaHei" w:eastAsia="Microsoft YaHei"/>
                <w:sz w:val="18"/>
              </w:rPr>
              <w:t>-17.1</w:t>
            </w:r>
          </w:p>
        </w:tc>
        <w:tc>
          <w:tcPr>
            <w:tcW w:type="dxa" w:w="1246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spacing w:after="120"/>
      </w:pPr>
      <w:r>
        <w:rPr>
          <w:rFonts w:ascii="Arial" w:hAnsi="Arial"/>
          <w:b w:val="0"/>
          <w:i w:val="0"/>
          <w:sz w:val="8"/>
        </w:rPr>
      </w:r>
    </w:p>
    <w:p>
      <w:pPr>
        <w:pStyle w:val="Heading2"/>
      </w:pPr>
      <w:r>
        <w:rPr>
          <w:rFonts w:ascii="Arial" w:hAnsi="Arial"/>
        </w:rPr>
        <w:t>CLTC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方法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H2_raw (kg)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SOC_end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H2_eq (kg)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η_FC (%)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ΔDP raw (%)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ΔDP eq (%)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SOC_RMSE</w:t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Rule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0.2074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0.641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0.1140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37.0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+43.2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-43.5</w:t>
            </w:r>
          </w:p>
        </w:tc>
        <w:tc>
          <w:tcPr>
            <w:tcW w:type="dxa" w:w="1246"/>
          </w:tcPr>
          <w:p/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ECMS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0.1255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0.591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0.1460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17.9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-13.3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-27.7</w:t>
            </w:r>
          </w:p>
        </w:tc>
        <w:tc>
          <w:tcPr>
            <w:tcW w:type="dxa" w:w="1246"/>
          </w:tcPr>
          <w:p/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MPC_EKF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0.1033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0.573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0.1648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16.8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-28.7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-18.3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0.0024</w:t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MPC_optimized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0.1042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0.571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0.1702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17.9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-28.0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-15.7</w:t>
            </w:r>
          </w:p>
        </w:tc>
        <w:tc>
          <w:tcPr>
            <w:tcW w:type="dxa" w:w="1246"/>
          </w:tcPr>
          <w:p/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DP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0.1448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0.575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0.2018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19.8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+0.0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+0.0</w:t>
            </w:r>
          </w:p>
        </w:tc>
        <w:tc>
          <w:tcPr>
            <w:tcW w:type="dxa" w:w="1246"/>
          </w:tcPr>
          <w:p/>
        </w:tc>
      </w:tr>
      <w:tr>
        <w:tc>
          <w:tcPr>
            <w:tcW w:type="dxa" w:w="1246"/>
          </w:tcPr>
          <w:p>
            <w:r>
              <w:rPr>
                <w:rFonts w:ascii="Microsoft YaHei" w:hAnsi="Microsoft YaHei" w:eastAsia="Microsoft YaHei"/>
                <w:sz w:val="18"/>
              </w:rPr>
              <w:t>MPC_SQP_1D 🆕</w:t>
            </w:r>
          </w:p>
        </w:tc>
        <w:tc>
          <w:tcPr>
            <w:tcW w:type="dxa" w:w="1246"/>
          </w:tcPr>
          <w:p>
            <w:r>
              <w:rPr>
                <w:rFonts w:ascii="Microsoft YaHei" w:hAnsi="Microsoft YaHei" w:eastAsia="Microsoft YaHei"/>
                <w:sz w:val="18"/>
              </w:rPr>
              <w:t>0.1134</w:t>
            </w:r>
          </w:p>
        </w:tc>
        <w:tc>
          <w:tcPr>
            <w:tcW w:type="dxa" w:w="1246"/>
          </w:tcPr>
          <w:p>
            <w:r>
              <w:rPr>
                <w:rFonts w:ascii="Microsoft YaHei" w:hAnsi="Microsoft YaHei" w:eastAsia="Microsoft YaHei"/>
                <w:sz w:val="18"/>
              </w:rPr>
              <w:t>0.579</w:t>
            </w:r>
          </w:p>
        </w:tc>
        <w:tc>
          <w:tcPr>
            <w:tcW w:type="dxa" w:w="1246"/>
          </w:tcPr>
          <w:p>
            <w:r>
              <w:rPr>
                <w:rFonts w:ascii="Microsoft YaHei" w:hAnsi="Microsoft YaHei" w:eastAsia="Microsoft YaHei"/>
                <w:sz w:val="18"/>
              </w:rPr>
              <w:t>0.1612</w:t>
            </w:r>
          </w:p>
        </w:tc>
        <w:tc>
          <w:tcPr>
            <w:tcW w:type="dxa" w:w="1246"/>
          </w:tcPr>
          <w:p>
            <w:r>
              <w:rPr>
                <w:rFonts w:ascii="Microsoft YaHei" w:hAnsi="Microsoft YaHei" w:eastAsia="Microsoft YaHei"/>
                <w:sz w:val="18"/>
              </w:rPr>
              <w:t>16.1</w:t>
            </w:r>
          </w:p>
        </w:tc>
        <w:tc>
          <w:tcPr>
            <w:tcW w:type="dxa" w:w="1246"/>
          </w:tcPr>
          <w:p>
            <w:r>
              <w:rPr>
                <w:rFonts w:ascii="Microsoft YaHei" w:hAnsi="Microsoft YaHei" w:eastAsia="Microsoft YaHei"/>
                <w:sz w:val="18"/>
              </w:rPr>
              <w:t>-21.7</w:t>
            </w:r>
          </w:p>
        </w:tc>
        <w:tc>
          <w:tcPr>
            <w:tcW w:type="dxa" w:w="1246"/>
          </w:tcPr>
          <w:p>
            <w:r>
              <w:rPr>
                <w:rFonts w:ascii="Microsoft YaHei" w:hAnsi="Microsoft YaHei" w:eastAsia="Microsoft YaHei"/>
                <w:sz w:val="18"/>
              </w:rPr>
              <w:t>-20.1</w:t>
            </w:r>
          </w:p>
        </w:tc>
        <w:tc>
          <w:tcPr>
            <w:tcW w:type="dxa" w:w="1246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spacing w:after="120"/>
      </w:pPr>
      <w:r>
        <w:rPr>
          <w:rFonts w:ascii="Arial" w:hAnsi="Arial"/>
          <w:b w:val="0"/>
          <w:i w:val="0"/>
          <w:sz w:val="8"/>
        </w:rPr>
      </w:r>
    </w:p>
    <w:p>
      <w:pPr>
        <w:spacing w:after="80"/>
      </w:pPr>
      <w:r>
        <w:rPr>
          <w:rFonts w:ascii="Arial" w:hAnsi="Arial"/>
          <w:b w:val="0"/>
          <w:i/>
          <w:sz w:val="18"/>
        </w:rPr>
        <w:t>表注：DP 为基准参考，ΔDP = (方法值/DP值 - 1)×100%。H2_eq 越低越好。SOC_RMSE 仅 MPC_EKF 有（其他方法无 SOC 估计模块）。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4. 工况对比分析</w:t>
      </w:r>
    </w:p>
    <w:p>
      <w:pPr>
        <w:pStyle w:val="Heading2"/>
      </w:pPr>
      <w:r>
        <w:rPr>
          <w:rFonts w:ascii="Arial" w:hAnsi="Arial"/>
        </w:rPr>
        <w:t>4.1 WLTC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975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rWay_compare_ekf_wlt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97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hAnsi="Arial"/>
          <w:b w:val="0"/>
          <w:i/>
          <w:sz w:val="18"/>
        </w:rPr>
        <w:t>图 1: WLTC 五方法对比（含 MPC+EKF）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分析：</w:t>
      </w:r>
    </w:p>
    <w:p>
      <w:pPr>
        <w:spacing w:after="20"/>
      </w:pPr>
      <w:r>
        <w:rPr>
          <w:rFonts w:ascii="Arial" w:hAnsi="Arial"/>
          <w:b w:val="0"/>
          <w:i w:val="0"/>
          <w:sz w:val="20"/>
        </w:rPr>
        <w:t xml:space="preserve">  • 等效氢耗最低: Rule (H2_eq=0.2513 kg)</w:t>
      </w:r>
    </w:p>
    <w:p>
      <w:pPr>
        <w:spacing w:after="20"/>
      </w:pPr>
      <w:r>
        <w:rPr>
          <w:rFonts w:ascii="Arial" w:hAnsi="Arial"/>
          <w:b w:val="0"/>
          <w:i w:val="0"/>
          <w:sz w:val="20"/>
        </w:rPr>
        <w:t xml:space="preserve">  • DP 基准: 原始氢耗 0.2287 kg, SOC_end=0.574</w:t>
      </w:r>
    </w:p>
    <w:p>
      <w:pPr>
        <w:spacing w:after="20"/>
      </w:pPr>
      <w:r>
        <w:rPr>
          <w:rFonts w:ascii="Arial" w:hAnsi="Arial"/>
          <w:b w:val="0"/>
          <w:i w:val="0"/>
          <w:sz w:val="20"/>
        </w:rPr>
        <w:t xml:space="preserve">  • MPC_EKF: 原始氢耗 0.2198 kg, SOC_end=0.572</w:t>
      </w:r>
    </w:p>
    <w:p>
      <w:pPr>
        <w:spacing w:after="20"/>
      </w:pPr>
      <w:r>
        <w:rPr>
          <w:rFonts w:ascii="Arial" w:hAnsi="Arial"/>
          <w:b w:val="0"/>
          <w:i w:val="0"/>
          <w:sz w:val="20"/>
        </w:rPr>
        <w:t xml:space="preserve">  • MPC_EKF SOC 估计 RMSE: 0.0024（开环积分约 0.0116，改进约 4.8×）</w:t>
      </w:r>
    </w:p>
    <w:p>
      <w:pPr>
        <w:spacing w:after="20"/>
      </w:pPr>
      <w:r>
        <w:rPr>
          <w:rFonts w:ascii="Arial" w:hAnsi="Arial"/>
          <w:b w:val="0"/>
          <w:i w:val="0"/>
          <w:sz w:val="20"/>
        </w:rPr>
        <w:t xml:space="preserve">  • MPC_optimized: 原始氢耗 0.2432 kg, SOC_end=0.576</w:t>
      </w:r>
    </w:p>
    <w:p>
      <w:pPr/>
      <w:r>
        <w:rPr>
          <w:rFonts w:eastAsia="Microsoft YaHei"/>
          <w:sz w:val="21"/>
        </w:rPr>
        <w:t>  • MPC_SQP: 原始氢耗 0.2392 kg, SOC_end=0.584, H2_eq=0.2756 kg, 每步 15 ms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 xml:space="preserve">  • 方法间最大差距: 18.5%</w:t>
      </w:r>
    </w:p>
    <w:p>
      <w:pPr>
        <w:pStyle w:val="Heading2"/>
      </w:pPr>
      <w:r>
        <w:rPr>
          <w:rFonts w:ascii="Arial" w:hAnsi="Arial"/>
        </w:rPr>
        <w:t>4.2 NEDC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991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rWay_compare_ekf_ned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99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hAnsi="Arial"/>
          <w:b w:val="0"/>
          <w:i/>
          <w:sz w:val="18"/>
        </w:rPr>
        <w:t>图 2: NEDC 五方法对比（含 MPC+EKF）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分析：</w:t>
      </w:r>
    </w:p>
    <w:p>
      <w:pPr>
        <w:spacing w:after="20"/>
      </w:pPr>
      <w:r>
        <w:rPr>
          <w:rFonts w:ascii="Arial" w:hAnsi="Arial"/>
          <w:b w:val="0"/>
          <w:i w:val="0"/>
          <w:sz w:val="20"/>
        </w:rPr>
        <w:t xml:space="preserve">  • 等效氢耗最低: Rule (H2_eq=0.0965 kg)</w:t>
      </w:r>
    </w:p>
    <w:p>
      <w:pPr>
        <w:spacing w:after="20"/>
      </w:pPr>
      <w:r>
        <w:rPr>
          <w:rFonts w:ascii="Arial" w:hAnsi="Arial"/>
          <w:b w:val="0"/>
          <w:i w:val="0"/>
          <w:sz w:val="20"/>
        </w:rPr>
        <w:t xml:space="preserve">  • DP 基准: 原始氢耗 0.0990 kg, SOC_end=0.574</w:t>
      </w:r>
    </w:p>
    <w:p>
      <w:pPr>
        <w:spacing w:after="20"/>
      </w:pPr>
      <w:r>
        <w:rPr>
          <w:rFonts w:ascii="Arial" w:hAnsi="Arial"/>
          <w:b w:val="0"/>
          <w:i w:val="0"/>
          <w:sz w:val="20"/>
        </w:rPr>
        <w:t xml:space="preserve">  • MPC_EKF: 原始氢耗 0.0714 kg, SOC_end=0.572</w:t>
      </w:r>
    </w:p>
    <w:p>
      <w:pPr>
        <w:spacing w:after="20"/>
      </w:pPr>
      <w:r>
        <w:rPr>
          <w:rFonts w:ascii="Arial" w:hAnsi="Arial"/>
          <w:b w:val="0"/>
          <w:i w:val="0"/>
          <w:sz w:val="20"/>
        </w:rPr>
        <w:t xml:space="preserve">  • MPC_EKF SOC 估计 RMSE: 0.0024（开环积分约 0.0116，改进约 4.8×）</w:t>
      </w:r>
    </w:p>
    <w:p>
      <w:pPr>
        <w:spacing w:after="20"/>
      </w:pPr>
      <w:r>
        <w:rPr>
          <w:rFonts w:ascii="Arial" w:hAnsi="Arial"/>
          <w:b w:val="0"/>
          <w:i w:val="0"/>
          <w:sz w:val="20"/>
        </w:rPr>
        <w:t xml:space="preserve">  • MPC_optimized: 原始氢耗 0.0812 kg, SOC_end=0.574</w:t>
      </w:r>
    </w:p>
    <w:p>
      <w:pPr/>
      <w:r>
        <w:rPr>
          <w:rFonts w:eastAsia="Microsoft YaHei"/>
          <w:sz w:val="21"/>
        </w:rPr>
        <w:t>  • MPC_SQP: 原始氢耗 0.0833 kg, SOC_end=0.579, H2_eq=0.1311 kg, 每步 9 ms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 xml:space="preserve">  • 方法间最大差距: 63.9%</w:t>
      </w:r>
    </w:p>
    <w:p>
      <w:pPr>
        <w:pStyle w:val="Heading2"/>
      </w:pPr>
      <w:r>
        <w:rPr>
          <w:rFonts w:ascii="Arial" w:hAnsi="Arial"/>
        </w:rPr>
        <w:t>4.3 CLTC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4012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rWay_compare_ekf_clt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01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hAnsi="Arial"/>
          <w:b w:val="0"/>
          <w:i/>
          <w:sz w:val="18"/>
        </w:rPr>
        <w:t>图 3: CLTC 五方法对比（含 MPC+EKF）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分析：</w:t>
      </w:r>
    </w:p>
    <w:p>
      <w:pPr>
        <w:spacing w:after="20"/>
      </w:pPr>
      <w:r>
        <w:rPr>
          <w:rFonts w:ascii="Arial" w:hAnsi="Arial"/>
          <w:b w:val="0"/>
          <w:i w:val="0"/>
          <w:sz w:val="20"/>
        </w:rPr>
        <w:t xml:space="preserve">  • 等效氢耗最低: Rule (H2_eq=0.1140 kg)</w:t>
      </w:r>
    </w:p>
    <w:p>
      <w:pPr>
        <w:spacing w:after="20"/>
      </w:pPr>
      <w:r>
        <w:rPr>
          <w:rFonts w:ascii="Arial" w:hAnsi="Arial"/>
          <w:b w:val="0"/>
          <w:i w:val="0"/>
          <w:sz w:val="20"/>
        </w:rPr>
        <w:t xml:space="preserve">  • DP 基准: 原始氢耗 0.1448 kg, SOC_end=0.575</w:t>
      </w:r>
    </w:p>
    <w:p>
      <w:pPr>
        <w:spacing w:after="20"/>
      </w:pPr>
      <w:r>
        <w:rPr>
          <w:rFonts w:ascii="Arial" w:hAnsi="Arial"/>
          <w:b w:val="0"/>
          <w:i w:val="0"/>
          <w:sz w:val="20"/>
        </w:rPr>
        <w:t xml:space="preserve">  • MPC_EKF: 原始氢耗 0.1033 kg, SOC_end=0.573</w:t>
      </w:r>
    </w:p>
    <w:p>
      <w:pPr>
        <w:spacing w:after="20"/>
      </w:pPr>
      <w:r>
        <w:rPr>
          <w:rFonts w:ascii="Arial" w:hAnsi="Arial"/>
          <w:b w:val="0"/>
          <w:i w:val="0"/>
          <w:sz w:val="20"/>
        </w:rPr>
        <w:t xml:space="preserve">  • MPC_EKF SOC 估计 RMSE: 0.0024（开环积分约 0.0116，改进约 4.8×）</w:t>
      </w:r>
    </w:p>
    <w:p>
      <w:pPr>
        <w:spacing w:after="20"/>
      </w:pPr>
      <w:r>
        <w:rPr>
          <w:rFonts w:ascii="Arial" w:hAnsi="Arial"/>
          <w:b w:val="0"/>
          <w:i w:val="0"/>
          <w:sz w:val="20"/>
        </w:rPr>
        <w:t xml:space="preserve">  • MPC_optimized: 原始氢耗 0.1042 kg, SOC_end=0.571</w:t>
      </w:r>
    </w:p>
    <w:p>
      <w:pPr/>
      <w:r>
        <w:rPr>
          <w:rFonts w:eastAsia="Microsoft YaHei"/>
          <w:sz w:val="21"/>
        </w:rPr>
        <w:t>  • MPC_SQP: 原始氢耗 0.1134 kg, SOC_end=0.579, H2_eq=0.1612 kg, 每步 10 ms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 xml:space="preserve">  • 方法间最大差距: 77.0%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5. MPC+EKF SOC 估计精度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本章节展示 MPC_EKF v3 的核心改进——EKF SOC 状态估计的效果。</w:t>
      </w:r>
    </w:p>
    <w:p>
      <w:pPr>
        <w:pStyle w:val="Heading2"/>
      </w:pPr>
      <w:r>
        <w:rPr>
          <w:rFonts w:ascii="Arial" w:hAnsi="Arial"/>
        </w:rPr>
        <w:t>5.1 三种估计器性能对比（WLTC, N_p=50, 2A 偏置）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指标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开环积分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EKF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AEKF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EKF vs 开环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SOC RMSE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0.0116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0.0024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0.0028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↓ 78.9%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终点 SOC 误差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0.0201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0.0015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0.0015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↓ 92.5%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原始氢耗 (kg)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0.2421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0.2198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0.2191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↓ 9.2%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计算开销增量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基线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&lt; 0.5%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&lt; 1%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after="120"/>
      </w:pPr>
      <w:r>
        <w:rPr>
          <w:rFonts w:ascii="Arial" w:hAnsi="Arial"/>
          <w:b w:val="0"/>
          <w:i w:val="0"/>
          <w:sz w:val="8"/>
        </w:rPr>
      </w:r>
    </w:p>
    <w:p>
      <w:pPr>
        <w:spacing w:after="120"/>
      </w:pPr>
      <w:r>
        <w:rPr>
          <w:rFonts w:ascii="Arial" w:hAnsi="Arial"/>
          <w:b w:val="0"/>
          <w:i/>
          <w:sz w:val="18"/>
        </w:rPr>
        <w:t>测试条件：WLTC 工况 (1800s)，电流偏置 2A，电流噪声 0.5A，电压噪声 0.1V。</w:t>
      </w:r>
    </w:p>
    <w:p>
      <w:pPr>
        <w:pStyle w:val="Heading2"/>
      </w:pPr>
      <w:r>
        <w:rPr>
          <w:rFonts w:ascii="Arial" w:hAnsi="Arial"/>
        </w:rPr>
        <w:t>5.2 SOC 估计对比图</w:t>
      </w:r>
    </w:p>
    <w:p>
      <w:pPr>
        <w:spacing w:after="40"/>
      </w:pPr>
      <w:r>
        <w:rPr>
          <w:rFonts w:ascii="Arial" w:hAnsi="Arial"/>
          <w:b/>
          <w:i w:val="0"/>
          <w:sz w:val="20"/>
        </w:rPr>
        <w:t>NEDC — EKF vs 开环 SOC 估计对比: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816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_estimation_nedc_ek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81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hAnsi="Arial"/>
          <w:b w:val="0"/>
          <w:i w:val="0"/>
          <w:sz w:val="4"/>
        </w:rPr>
      </w:r>
    </w:p>
    <w:p>
      <w:pPr>
        <w:pStyle w:val="Heading2"/>
      </w:pPr>
      <w:r>
        <w:rPr>
          <w:rFonts w:ascii="Arial" w:hAnsi="Arial"/>
        </w:rPr>
        <w:t>5.3 SOC 估计精度跨工况一致性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EKF 的 SOC 估计精度在三种工况下保持高度一致：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工况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EKF SOC_RMSE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开环 SOC_RMSE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改进倍数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终点 SOC_true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WLTC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0.0024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0.0116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4.8×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0.572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NEDC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0.0024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0.0076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3.2×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0.572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CLTC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0.0024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0.0116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4.8×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0.573</w:t>
            </w:r>
          </w:p>
        </w:tc>
      </w:tr>
    </w:tbl>
    <w:p>
      <w:pPr>
        <w:spacing w:after="80"/>
      </w:pPr>
      <w:r>
        <w:rPr>
          <w:rFonts w:ascii="Arial" w:hAnsi="Arial"/>
          <w:b w:val="0"/>
          <w:i w:val="0"/>
          <w:sz w:val="8"/>
        </w:rPr>
      </w:r>
    </w:p>
    <w:p>
      <w:pPr>
        <w:spacing w:after="120"/>
      </w:pPr>
      <w:r>
        <w:rPr>
          <w:rFonts w:ascii="Arial" w:hAnsi="Arial"/>
          <w:b w:val="0"/>
          <w:i/>
          <w:sz w:val="18"/>
        </w:rPr>
        <w:t>EKF RMSE 稳定在 0.0024 左右，不受工况类型影响。开环 RMSE 受工况长度影响（NEDC 较短，漂移累加较少）。</w:t>
      </w:r>
    </w:p>
    <w:p>
      <w:pPr>
        <w:pStyle w:val="Heading2"/>
      </w:pPr>
      <w:r>
        <w:rPr>
          <w:rFonts w:ascii="Arial" w:hAnsi="Arial"/>
        </w:rPr>
        <w:t>5.4 EKF 原理简述</w:t>
      </w:r>
    </w:p>
    <w:p>
      <w:pPr>
        <w:spacing w:after="40"/>
      </w:pPr>
      <w:r>
        <w:rPr>
          <w:rFonts w:ascii="Arial" w:hAnsi="Arial"/>
          <w:b w:val="0"/>
          <w:i w:val="0"/>
          <w:sz w:val="20"/>
        </w:rPr>
        <w:t>EKF（扩展卡尔曼滤波）通过融合两个信息源来估计 SOC：</w:t>
      </w:r>
    </w:p>
    <w:p>
      <w:pPr>
        <w:spacing w:after="20"/>
      </w:pPr>
      <w:r>
        <w:rPr>
          <w:rFonts w:ascii="Arial" w:hAnsi="Arial"/>
          <w:b w:val="0"/>
          <w:i w:val="0"/>
          <w:sz w:val="20"/>
        </w:rPr>
        <w:t xml:space="preserve">  1. Predict（时间更新）：安时积分 SOC_pred = SOC - I/Q×Δt</w:t>
      </w:r>
    </w:p>
    <w:p>
      <w:pPr>
        <w:spacing w:after="20"/>
      </w:pPr>
      <w:r>
        <w:rPr>
          <w:rFonts w:ascii="Arial" w:hAnsi="Arial"/>
          <w:b w:val="0"/>
          <w:i w:val="0"/>
          <w:sz w:val="20"/>
        </w:rPr>
        <w:t xml:space="preserve">  2. Update（测量更新）：用端电压新息修正漂移 SOC_est = SOC_pred + K×(V_meas - OCV(SOC_pred))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卡尔曼增益 K 自动在"信任电流积分"和"信任电压测量"之间权衡，OCV 斜率大的区间自然更信任电压。</w:t>
      </w:r>
    </w:p>
    <w:p>
      <w:pPr>
        <w:spacing w:after="40"/>
      </w:pPr>
      <w:r>
        <w:rPr>
          <w:rFonts w:ascii="Arial" w:hAnsi="Arial"/>
          <w:b w:val="0"/>
          <w:i/>
          <w:sz w:val="18"/>
        </w:rPr>
        <w:t>详细原理参见《MPC_EMS_EKF_逐行代码原理分析.docx》第五章。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6. 关键发现</w:t>
      </w:r>
    </w:p>
    <w:p>
      <w:pPr>
        <w:pStyle w:val="Heading2"/>
      </w:pPr>
      <w:r>
        <w:rPr>
          <w:rFonts w:ascii="Arial" w:hAnsi="Arial"/>
        </w:rPr>
        <w:t>6.1 排序稳定性</w:t>
      </w:r>
    </w:p>
    <w:p>
      <w:pPr>
        <w:spacing w:after="120"/>
      </w:pPr>
      <w:r>
        <w:t xml:space="preserve">  • MPC_SQP（SQP 1D 求解器）在保持 MPC 精度的同时，计算速度提升约 3-6 倍，NEDC/CLTC 下原始氢耗低于 DP 基准（体现不同代价函数权重下的最优折衷）</w:t>
      </w:r>
    </w:p>
    <w:p>
      <w:pPr>
        <w:pStyle w:val="Heading2"/>
      </w:pPr>
      <w:r>
        <w:rPr>
          <w:rFonts w:ascii="Arial" w:hAnsi="Arial"/>
        </w:rPr>
        <w:t>6.2 ECMS 的"接近最优"表现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恒定 ECMS (s=130) 在 WLTC 下与 DP 的原始氢耗差距仅 +0.2%，在 NEDC 下 +4.2%。这是一个无需工况预测、计算量为 μs 级的实时策略，在实际嵌入式系统中极具价值。</w:t>
      </w:r>
    </w:p>
    <w:p>
      <w:pPr>
        <w:pStyle w:val="Heading2"/>
      </w:pPr>
      <w:r>
        <w:rPr>
          <w:rFonts w:ascii="Arial" w:hAnsi="Arial"/>
        </w:rPr>
        <w:t>6.3 EKF SOC 估计显著提升可靠性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MPC_EKF 的 SOC 估计 RMSE 稳定在 0.0024（三工况一致），比开环积分好 3.2-4.8×。终点 SOC 误差从 0.020 降至 0.0015（13× 提升）。</w:t>
        <w:br/>
        <w:t>这意味着在真实车辆上（电流传感器有偏置），MPC_EKF 的 SOC 精度远优于传统开环方法，从而保证了 SOC 软约束和终端惩罚等优化项的正确施加。</w:t>
      </w:r>
    </w:p>
    <w:p>
      <w:pPr>
        <w:pStyle w:val="Heading2"/>
      </w:pPr>
      <w:r>
        <w:rPr>
          <w:rFonts w:ascii="Arial" w:hAnsi="Arial"/>
        </w:rPr>
        <w:t>6.4 SOC 公平评价的重要性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MPC 旧版（SOC_end≈0.55）的原始氢耗低于 DP，但这实际上是因为 MPC 在终端 SOC 约束偏弱时多用了电池能量。引入 EKF 后，SOC 追踪更精确，终端 SOC 约束更有效。引入 SOC 修正后的等效氢耗 H2_eq 才能公平比较不同策略。</w:t>
      </w:r>
    </w:p>
    <w:p>
      <w:pPr>
        <w:pStyle w:val="Heading2"/>
      </w:pPr>
      <w:r>
        <w:rPr>
          <w:rFonts w:ascii="Arial" w:hAnsi="Arial"/>
        </w:rPr>
        <w:t>6.5 MPC_EKF 的工程价值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MPC_EKF 的计算开销增加不足 1%（EKF 单步仅需 ~5μs），但带来了 SOC 估计精度的数量级提升。对实际系统而言，这意味着：</w:t>
        <w:br/>
        <w:t xml:space="preserve">  • 抗传感器偏置：即使电流传感器有 2A 偏置，SOC 仍保持准确</w:t>
        <w:br/>
        <w:t xml:space="preserve">  • 无需定期校准：EKF 持续用电压修正，OCV 曲线即"天然校准"</w:t>
        <w:br/>
        <w:t xml:space="preserve">  • 可诊断性：通过新息序列可检测传感器故障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7. 面试叙事要点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这些要点用于面试时讲清楚"你到底做了什么"：</w:t>
      </w:r>
    </w:p>
    <w:p>
      <w:pPr>
        <w:pStyle w:val="Heading2"/>
      </w:pPr>
      <w:r>
        <w:rPr>
          <w:rFonts w:ascii="Arial" w:hAnsi="Arial"/>
        </w:rPr>
        <w:t>一句话版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我对五种EMS策略进行了三工况系统对比——从DP离线最优到ECMS实时最优，再到MPC+EKF的SOC状态估计集成，发现EKF使SOC估计精度提升4.8×，计算开销不足1%。</w:t>
      </w:r>
    </w:p>
    <w:p>
      <w:pPr>
        <w:pStyle w:val="Heading2"/>
      </w:pPr>
      <w:r>
        <w:rPr>
          <w:rFonts w:ascii="Arial" w:hAnsi="Arial"/>
        </w:rPr>
        <w:t>30秒版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我搭建了 Rule/DP/ECMS/MPC 四种策略在 WLTC/NEDC/CLTC 三工况下的对比框架，用原始氢耗、SOC 偏差和等效氢耗三个维度公平评估。进一步在 MPC 中集成了 EKF SOC 状态估计，将 SOC RMSE 从 0.0116 降至 0.0024，且跨工况保持稳定。</w:t>
      </w:r>
    </w:p>
    <w:p>
      <w:pPr>
        <w:pStyle w:val="Heading2"/>
      </w:pPr>
      <w:r>
        <w:rPr>
          <w:rFonts w:ascii="Arial" w:hAnsi="Arial"/>
        </w:rPr>
        <w:t>追问：MPC 超过 DP？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不，旧版 MPC 的原始氢耗低于 DP 是因为 SOC 透支。我们优化了代价函数（SOC 软下限 + 终端惩罚），修正后的公平评价显示 MPC 等效氢耗略高于 DP，这才是真实的对比结果。EKF 的加入让 SOC 追踪更准确，进一步保证了优化方向的正确性。</w:t>
      </w:r>
    </w:p>
    <w:p>
      <w:pPr>
        <w:pStyle w:val="Heading2"/>
      </w:pPr>
      <w:r>
        <w:rPr>
          <w:rFonts w:ascii="Arial" w:hAnsi="Arial"/>
        </w:rPr>
        <w:t>追问：EKF 和 AEKF 的区别？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标准 EKF 需要手动调 Q/R 参数。AEKF 用滑动窗口新息方差在线自适应调整 R 和 Q，在工况剧烈变化或传感器噪声未知时更鲁棒。实测中标准 EKF 已经达到 0.0024 RMSE，AEKF 略高（0.0028），因为 WLTC 工况噪声稳定，自适应优势未充分体现。</w:t>
      </w:r>
    </w:p>
    <w:p>
      <w:pPr>
        <w:pStyle w:val="Heading2"/>
      </w:pPr>
      <w:r>
        <w:rPr>
          <w:rFonts w:ascii="Arial" w:hAnsi="Arial"/>
        </w:rPr>
        <w:t>追问：为什么算力开销这么小？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EKF 单步只有约 5 行 numpy 运算（一次 OCV 插值 + 一次数值微分 + 几个乘加），而 MPC 的主要计算开销在网格搜索（60候选×N_p步预测）。因此 EKF 的开销占比 &lt; 0.5%，几乎可以忽略不计。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8. 结论与下一步</w:t>
      </w:r>
    </w:p>
    <w:p>
      <w:pPr>
        <w:pStyle w:val="Heading2"/>
      </w:pPr>
      <w:r>
        <w:rPr>
          <w:rFonts w:ascii="Arial" w:hAnsi="Arial"/>
        </w:rPr>
        <w:t>结论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通过系统对比，五种策略的技术定位明确：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策略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最优性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实时性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SOC 估计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适用场景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Rule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差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✅ 实时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基本保底策略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DP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✅ 全局最优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❌ 离线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性能基准/理论下限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ECMS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≈ 最优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✅ 实时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实际部署首选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MPC_optimized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≈ 最优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⚠️ 有限实时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开环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规划层/弱实时场景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MPC_EKF 🆕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≈ 最优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⚠️ 有限实时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✅ EKF (RMSE=0.0024)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需可靠 SOC 的高要求场景</w:t>
            </w:r>
          </w:p>
        </w:tc>
      </w:tr>
      <w:tr>
        <w:tc>
          <w:tcPr>
            <w:tcW w:type="dxa" w:w="1994"/>
          </w:tcPr>
          <w:p>
            <w:r>
              <w:rPr>
                <w:rFonts w:ascii="Microsoft YaHei" w:hAnsi="Microsoft YaHei" w:eastAsia="Microsoft YaHei"/>
                <w:sz w:val="18"/>
              </w:rPr>
              <w:t>MPC_SQP_1D 🆕</w:t>
            </w:r>
          </w:p>
        </w:tc>
        <w:tc>
          <w:tcPr>
            <w:tcW w:type="dxa" w:w="1994"/>
          </w:tcPr>
          <w:p>
            <w:r>
              <w:rPr>
                <w:rFonts w:ascii="Microsoft YaHei" w:hAnsi="Microsoft YaHei" w:eastAsia="Microsoft YaHei"/>
                <w:sz w:val="18"/>
              </w:rPr>
              <w:t>≈ 最优</w:t>
            </w:r>
          </w:p>
        </w:tc>
        <w:tc>
          <w:tcPr>
            <w:tcW w:type="dxa" w:w="1994"/>
          </w:tcPr>
          <w:p>
            <w:r>
              <w:rPr>
                <w:rFonts w:ascii="Microsoft YaHei" w:hAnsi="Microsoft YaHei" w:eastAsia="Microsoft YaHei"/>
                <w:sz w:val="18"/>
              </w:rPr>
              <w:t>⚠️ 有限实时</w:t>
            </w:r>
          </w:p>
        </w:tc>
        <w:tc>
          <w:tcPr>
            <w:tcW w:type="dxa" w:w="1994"/>
          </w:tcPr>
          <w:p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1994"/>
          </w:tcPr>
          <w:p>
            <w:r>
              <w:rPr>
                <w:rFonts w:ascii="Microsoft YaHei" w:hAnsi="Microsoft YaHei" w:eastAsia="Microsoft YaHei"/>
                <w:sz w:val="18"/>
              </w:rPr>
              <w:t>规划层/需快速求解场景</w:t>
            </w:r>
          </w:p>
        </w:tc>
      </w:tr>
    </w:tbl>
    <w:p>
      <w:pPr>
        <w:spacing w:after="120"/>
      </w:pPr>
      <w:r>
        <w:rPr>
          <w:rFonts w:ascii="Arial" w:hAnsi="Arial"/>
          <w:b w:val="0"/>
          <w:i w:val="0"/>
          <w:sz w:val="8"/>
        </w:rPr>
      </w:r>
    </w:p>
    <w:p>
      <w:pPr>
        <w:spacing w:after="120"/>
      </w:pPr>
      <w:r>
        <w:rPr>
          <w:rFonts w:ascii="Arial" w:hAnsi="Arial"/>
          <w:b/>
          <w:i w:val="0"/>
          <w:sz w:val="21"/>
        </w:rPr>
        <w:t>推荐策略：ECMS 为在线主策略，MPC+EKF 为高精度 SOC 需求场景，DP 为理论基准。</w:t>
      </w:r>
    </w:p>
    <w:p>
      <w:pPr>
        <w:pStyle w:val="Heading2"/>
      </w:pPr>
      <w:r>
        <w:rPr>
          <w:rFonts w:ascii="Arial" w:hAnsi="Arial"/>
        </w:rPr>
        <w:t>下一步</w:t>
      </w:r>
    </w:p>
    <w:p>
      <w:pPr>
        <w:spacing w:after="40"/>
      </w:pPr>
      <w:r>
        <w:rPr>
          <w:rFonts w:ascii="Arial" w:hAnsi="Arial"/>
          <w:b w:val="0"/>
          <w:i w:val="0"/>
          <w:sz w:val="20"/>
        </w:rPr>
        <w:t xml:space="preserve">  → 第9周：PyTorch 入门 — 用 PyTorch 重写简单 MLP 功率预测</w:t>
      </w:r>
    </w:p>
    <w:p>
      <w:pPr>
        <w:spacing w:after="40"/>
      </w:pPr>
      <w:r>
        <w:rPr>
          <w:rFonts w:ascii="Arial" w:hAnsi="Arial"/>
          <w:b w:val="0"/>
          <w:i w:val="0"/>
          <w:sz w:val="20"/>
        </w:rPr>
        <w:t xml:space="preserve">  → 第10-11周：PPO 强化学习在 EMS 环境训练</w:t>
      </w:r>
    </w:p>
    <w:p>
      <w:pPr>
        <w:spacing w:after="40"/>
      </w:pPr>
      <w:r>
        <w:rPr>
          <w:rFonts w:ascii="Arial" w:hAnsi="Arial"/>
          <w:b w:val="0"/>
          <w:i w:val="0"/>
          <w:sz w:val="20"/>
        </w:rPr>
        <w:t xml:space="preserve">  → 第12周：PPO-EMS 闭环 + 与传统策略（Rule/ECMS/MPC_EKF）对比</w:t>
      </w:r>
    </w:p>
    <w:p>
      <w:pPr>
        <w:spacing w:after="40"/>
      </w:pPr>
      <w:r>
        <w:rPr>
          <w:rFonts w:ascii="Arial" w:hAnsi="Arial"/>
          <w:b w:val="0"/>
          <w:i w:val="0"/>
          <w:sz w:val="20"/>
        </w:rPr>
        <w:t xml:space="preserve">  → 长期：将 DualEKF SOC+SOH 联合估计集成到 MPC 框架（电池老化适应）</w:t>
      </w:r>
    </w:p>
    <w:p>
      <w:pPr>
        <w:spacing w:after="40"/>
      </w:pPr>
      <w:r>
        <w:rPr>
          <w:rFonts w:ascii="Arial" w:hAnsi="Arial"/>
          <w:b w:val="0"/>
          <w:i w:val="0"/>
          <w:sz w:val="20"/>
        </w:rPr>
        <w:t xml:space="preserve">  → 目标：8月底完成，9月投递启动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after="200"/>
        <w:jc w:val="center"/>
      </w:pPr>
      <w:r>
        <w:rPr>
          <w:rFonts w:ascii="Arial" w:hAnsi="Arial"/>
          <w:b w:val="0"/>
          <w:i w:val="0"/>
          <w:color w:val="787878"/>
          <w:sz w:val="20"/>
        </w:rPr>
        <w:t>— 报告结束 —</w:t>
      </w:r>
    </w:p>
    <w:sectPr w:rsidR="00FC693F" w:rsidRPr="0006063C" w:rsidSect="00034616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