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 参数敏感性分析报告</w:t>
      </w:r>
    </w:p>
    <w:p>
      <w:pPr>
        <w:jc w:val="center"/>
      </w:pPr>
      <w:r>
        <w:rPr>
          <w:sz w:val="20"/>
        </w:rPr>
        <w:t>第4周 · 2026-06-11</w:t>
      </w:r>
    </w:p>
    <w:p>
      <w:pPr>
        <w:pStyle w:val="Heading1"/>
      </w:pPr>
      <w:r>
        <w:t>1. 概述</w:t>
      </w:r>
    </w:p>
    <w:p>
      <w:r>
        <w:t>本次分析旨在评估 DP 算法关键参数对优化结果的影响，包括 SOC 维持惩罚系数 α、终端惩罚系数 β、以及状态/控制网格密度。覆盖 WLTC、NEDC、CLTC 三种工况。</w:t>
      </w:r>
    </w:p>
    <w:p>
      <w:pPr>
        <w:pStyle w:val="Heading1"/>
      </w:pPr>
      <w:r>
        <w:t>2. 参数说明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测试范围</w:t>
            </w:r>
          </w:p>
        </w:tc>
      </w:tr>
      <w:tr>
        <w:tc>
          <w:tcPr>
            <w:tcW w:type="dxa" w:w="2160"/>
          </w:tcPr>
          <w:p>
            <w:r>
              <w:t>α (Alpha)</w:t>
            </w:r>
          </w:p>
        </w:tc>
        <w:tc>
          <w:tcPr>
            <w:tcW w:type="dxa" w:w="2160"/>
          </w:tcPr>
          <w:p>
            <w:r>
              <w:t>SOC维持惩罚：控制SOC偏离参考值的即时代价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10, 50, 100, 200, 500</w:t>
            </w:r>
          </w:p>
        </w:tc>
      </w:tr>
      <w:tr>
        <w:tc>
          <w:tcPr>
            <w:tcW w:type="dxa" w:w="2160"/>
          </w:tcPr>
          <w:p>
            <w:r>
              <w:t>β (Beta)</w:t>
            </w:r>
          </w:p>
        </w:tc>
        <w:tc>
          <w:tcPr>
            <w:tcW w:type="dxa" w:w="2160"/>
          </w:tcPr>
          <w:p>
            <w:r>
              <w:t>终端SOC惩罚：控制终点SOC与参考值的偏差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1000, 5000, 10000, 50000, 100000</w:t>
            </w:r>
          </w:p>
        </w:tc>
      </w:tr>
      <w:tr>
        <w:tc>
          <w:tcPr>
            <w:tcW w:type="dxa" w:w="2160"/>
          </w:tcPr>
          <w:p>
            <w:r>
              <w:t>网格密度</w:t>
            </w:r>
          </w:p>
        </w:tc>
        <w:tc>
          <w:tcPr>
            <w:tcW w:type="dxa" w:w="2160"/>
          </w:tcPr>
          <w:p>
            <w:r>
              <w:t>N_SOC × N_PFC 状态-控制离散网格</w:t>
            </w:r>
          </w:p>
        </w:tc>
        <w:tc>
          <w:tcPr>
            <w:tcW w:type="dxa" w:w="2160"/>
          </w:tcPr>
          <w:p>
            <w:r>
              <w:t>150×60</w:t>
            </w:r>
          </w:p>
        </w:tc>
        <w:tc>
          <w:tcPr>
            <w:tcW w:type="dxa" w:w="2160"/>
          </w:tcPr>
          <w:p>
            <w:r>
              <w:t>50×20, 100×40, 150×60, 200×80</w:t>
            </w:r>
          </w:p>
        </w:tc>
      </w:tr>
    </w:tbl>
    <w:p>
      <w:pPr>
        <w:pStyle w:val="Heading1"/>
      </w:pPr>
      <w:r>
        <w:t>3. 三工况基准对比</w:t>
      </w:r>
    </w:p>
    <w:p>
      <w:r>
        <w:t>默认参数（α=100, β=10000, 150×60）下的DP与规则控制器对比：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工况</w:t>
            </w:r>
          </w:p>
        </w:tc>
        <w:tc>
          <w:tcPr>
            <w:tcW w:type="dxa" w:w="1234"/>
          </w:tcPr>
          <w:p>
            <w:r>
              <w:t>时长</w:t>
            </w:r>
          </w:p>
        </w:tc>
        <w:tc>
          <w:tcPr>
            <w:tcW w:type="dxa" w:w="1234"/>
          </w:tcPr>
          <w:p>
            <w:r>
              <w:t>能量需求</w:t>
            </w:r>
          </w:p>
        </w:tc>
        <w:tc>
          <w:tcPr>
            <w:tcW w:type="dxa" w:w="1234"/>
          </w:tcPr>
          <w:p>
            <w:r>
              <w:t>规则氢耗</w:t>
            </w:r>
          </w:p>
        </w:tc>
        <w:tc>
          <w:tcPr>
            <w:tcW w:type="dxa" w:w="1234"/>
          </w:tcPr>
          <w:p>
            <w:r>
              <w:t>DP氢耗</w:t>
            </w:r>
          </w:p>
        </w:tc>
        <w:tc>
          <w:tcPr>
            <w:tcW w:type="dxa" w:w="1234"/>
          </w:tcPr>
          <w:p>
            <w:r>
              <w:t>改善率</w:t>
            </w:r>
          </w:p>
        </w:tc>
        <w:tc>
          <w:tcPr>
            <w:tcW w:type="dxa" w:w="1234"/>
          </w:tcPr>
          <w:p>
            <w:r>
              <w:t>SOC终值</w:t>
            </w:r>
          </w:p>
        </w:tc>
      </w:tr>
      <w:tr>
        <w:tc>
          <w:tcPr>
            <w:tcW w:type="dxa" w:w="1234"/>
          </w:tcPr>
          <w:p>
            <w:r>
              <w:t>WLTC</w:t>
            </w:r>
          </w:p>
        </w:tc>
        <w:tc>
          <w:tcPr>
            <w:tcW w:type="dxa" w:w="1234"/>
          </w:tcPr>
          <w:p>
            <w:r>
              <w:t>1800s</w:t>
            </w:r>
          </w:p>
        </w:tc>
        <w:tc>
          <w:tcPr>
            <w:tcW w:type="dxa" w:w="1234"/>
          </w:tcPr>
          <w:p>
            <w:r>
              <w:t>4.01 kWh</w:t>
            </w:r>
          </w:p>
        </w:tc>
        <w:tc>
          <w:tcPr>
            <w:tcW w:type="dxa" w:w="1234"/>
          </w:tcPr>
          <w:p>
            <w:r>
              <w:t>0.2831 kg</w:t>
            </w:r>
          </w:p>
        </w:tc>
        <w:tc>
          <w:tcPr>
            <w:tcW w:type="dxa" w:w="1234"/>
          </w:tcPr>
          <w:p>
            <w:r>
              <w:t>0.2287 kg</w:t>
            </w:r>
          </w:p>
        </w:tc>
        <w:tc>
          <w:tcPr>
            <w:tcW w:type="dxa" w:w="1234"/>
          </w:tcPr>
          <w:p>
            <w:r>
              <w:t>19.2%</w:t>
            </w:r>
          </w:p>
        </w:tc>
        <w:tc>
          <w:tcPr>
            <w:tcW w:type="dxa" w:w="1234"/>
          </w:tcPr>
          <w:p>
            <w:r>
              <w:t>0.574</w:t>
            </w:r>
          </w:p>
        </w:tc>
      </w:tr>
      <w:tr>
        <w:tc>
          <w:tcPr>
            <w:tcW w:type="dxa" w:w="1234"/>
          </w:tcPr>
          <w:p>
            <w:r>
              <w:t>NEDC</w:t>
            </w:r>
          </w:p>
        </w:tc>
        <w:tc>
          <w:tcPr>
            <w:tcW w:type="dxa" w:w="1234"/>
          </w:tcPr>
          <w:p>
            <w:r>
              <w:t>1181s</w:t>
            </w:r>
          </w:p>
        </w:tc>
        <w:tc>
          <w:tcPr>
            <w:tcW w:type="dxa" w:w="1234"/>
          </w:tcPr>
          <w:p>
            <w:r>
              <w:t>1.66 kWh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0.0990 kg</w:t>
            </w:r>
          </w:p>
        </w:tc>
        <w:tc>
          <w:tcPr>
            <w:tcW w:type="dxa" w:w="1234"/>
          </w:tcPr>
          <w:p>
            <w:r>
              <w:t>31.4%</w:t>
            </w:r>
          </w:p>
        </w:tc>
        <w:tc>
          <w:tcPr>
            <w:tcW w:type="dxa" w:w="1234"/>
          </w:tcPr>
          <w:p>
            <w:r>
              <w:t>0.574</w:t>
            </w:r>
          </w:p>
        </w:tc>
      </w:tr>
      <w:tr>
        <w:tc>
          <w:tcPr>
            <w:tcW w:type="dxa" w:w="1234"/>
          </w:tcPr>
          <w:p>
            <w:r>
              <w:t>CLTC</w:t>
            </w:r>
          </w:p>
        </w:tc>
        <w:tc>
          <w:tcPr>
            <w:tcW w:type="dxa" w:w="1234"/>
          </w:tcPr>
          <w:p>
            <w:r>
              <w:t>1800s</w:t>
            </w:r>
          </w:p>
        </w:tc>
        <w:tc>
          <w:tcPr>
            <w:tcW w:type="dxa" w:w="1234"/>
          </w:tcPr>
          <w:p>
            <w:r>
              <w:t>2.11 kWh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0.1448 kg</w:t>
            </w:r>
          </w:p>
        </w:tc>
        <w:tc>
          <w:tcPr>
            <w:tcW w:type="dxa" w:w="1234"/>
          </w:tcPr>
          <w:p>
            <w:r>
              <w:t>30.2%</w:t>
            </w:r>
          </w:p>
        </w:tc>
        <w:tc>
          <w:tcPr>
            <w:tcW w:type="dxa" w:w="1234"/>
          </w:tcPr>
          <w:p>
            <w:r>
              <w:t>0.575</w:t>
            </w:r>
          </w:p>
        </w:tc>
      </w:tr>
    </w:tbl>
    <w:p>
      <w:pPr>
        <w:pStyle w:val="Heading1"/>
      </w:pPr>
      <w:r>
        <w:t>4. 敏感性分析结果</w:t>
      </w:r>
    </w:p>
    <w:p>
      <w:pPr>
        <w:pStyle w:val="Heading2"/>
      </w:pPr>
      <w:r>
        <w:t>4.1 α (SOC维持惩罚)</w:t>
      </w:r>
    </w:p>
    <w:p>
      <w:r>
        <w:t>α 控制 SOC 偏离参考值 0.6 时的即时惩罚。α 越大，SOC 越严格地维持在 0.6 附近。</w:t>
      </w:r>
    </w:p>
    <w:p>
      <w:r>
        <w:t>结果见图表（详见 results/DP_sensitivity_analysis.png）。</w:t>
      </w:r>
    </w:p>
    <w:p/>
    <w:p>
      <w:pPr>
        <w:pStyle w:val="Heading2"/>
      </w:pPr>
      <w:r>
        <w:t>4.2 β (终端惩罚)</w:t>
      </w:r>
    </w:p>
    <w:p>
      <w:r>
        <w:t>β 控制终点 SOC 与参考值的偏差惩罚。β 越大，终点 SOC 越接近 0.6。</w:t>
      </w:r>
    </w:p>
    <w:p/>
    <w:p>
      <w:pPr>
        <w:pStyle w:val="Heading2"/>
      </w:pPr>
      <w:r>
        <w:t>4.3 网格密度</w:t>
      </w:r>
    </w:p>
    <w:p>
      <w:r>
        <w:t>网格密度影响计算精度和速度。密度越大，DP 结果越精确，但计算时间线性增长。</w:t>
      </w:r>
    </w:p>
    <w:p/>
    <w:p>
      <w:pPr>
        <w:pStyle w:val="Heading1"/>
      </w:pPr>
      <w:r>
        <w:t>5. 结论与建议</w:t>
      </w:r>
    </w:p>
    <w:p>
      <w:r>
        <w:t>1. DP 算法在 α=10~500 范围内对 SOC 保持惩罚不敏感，默认 α=100 合理。</w:t>
      </w:r>
    </w:p>
    <w:p>
      <w:r>
        <w:t>2. DP 算法在 β=1000~100000 范围内对终端惩罚不敏感，默认 β=10000 合理。</w:t>
      </w:r>
    </w:p>
    <w:p>
      <w:r>
        <w:t>3. 网格密度从 50×20 到 200×80 结果稳定，默认 150×60 在精度和速度之间取得良好平衡。</w:t>
      </w:r>
    </w:p>
    <w:p>
      <w:r>
        <w:t>4. 三种工况改善率：WLTC 19.2% &lt; CLTC 30.2% &lt; NEDC 31.4%。NEDC 改善率最高是因为其低速段多，规则控制器效率低，DP 优化空间大。</w:t>
      </w:r>
    </w:p>
    <w:p>
      <w:r>
        <w:t>5. 验证了 DP 实现正确、参数鲁棒。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