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A3C6E"/>
          <w:sz w:val="40"/>
        </w:rPr>
        <w:t>多堆燃料电池系统</w:t>
        <w:br/>
        <w:t>模式—多目标—约束映射矩阵</w:t>
      </w:r>
    </w:p>
    <w:p>
      <w:pPr>
        <w:jc w:val="center"/>
      </w:pPr>
      <w:r>
        <w:rPr>
          <w:sz w:val="24"/>
        </w:rPr>
        <w:t>各模式下优化目标权重与硬约束的对应关系 · 2026-07</w:t>
      </w:r>
    </w:p>
    <w:p>
      <w:r>
        <w:br w:type="page"/>
      </w:r>
    </w:p>
    <w:p>
      <w:pPr>
        <w:pStyle w:val="Heading1"/>
      </w:pPr>
      <w:r>
        <w:t>一、模式架构总览</w:t>
      </w:r>
    </w:p>
    <w:p>
      <w:r>
        <w:t>控制模式分为三层，各层职责分离：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职责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触发方式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与优化的关系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正常作业模式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根据工况选择最优权重分配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工况自动切换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四个目标做 Pareto 优化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安全保底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覆盖 L1，以安全为唯一目标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安全阈值触发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目标函数退化为 J = J_safety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ASync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故障降级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切出故障堆，剩余堆降级运行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故障检测异步触发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目标函数结构不变，但参数/约束重标定</w:t>
            </w:r>
          </w:p>
        </w:tc>
      </w:tr>
    </w:tbl>
    <w:p/>
    <w:p>
      <w:pPr>
        <w:pStyle w:val="Heading1"/>
      </w:pPr>
      <w:r>
        <w:t>二、L1 正常作业模式——四模式定义</w:t>
      </w:r>
    </w:p>
    <w:p>
      <w:r>
        <w:t>四种模式覆盖 95% 以上运行工况，模式间通过工况特征自动切换：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模式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典型场景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占运行</w:t>
              <w:br/>
              <w:t>时间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负载</w:t>
              <w:br/>
              <w:t>范围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核心意图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① 巡航经济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长距离 A 到 B 航行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~60%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30–70%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同储氢量跑最远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② 精细作业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ROV 收放/机械臂/科考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~10%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10–30%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功率绝对稳定，不干扰作业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③ 高功率作业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高速航行/上浮/避障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~15%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60–100%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输出最大可用功率，保动态响应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④ 停泊待命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靠港/漂流/待机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~15%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&lt; 20%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减少启停，低功耗保温</w:t>
            </w:r>
          </w:p>
        </w:tc>
      </w:tr>
    </w:tbl>
    <w:p>
      <w:r>
        <w:br w:type="page"/>
      </w:r>
    </w:p>
    <w:p>
      <w:pPr>
        <w:pStyle w:val="Heading1"/>
      </w:pPr>
      <w:r>
        <w:t>三、四目标权重在各模式下的分布（核心表）</w:t>
      </w:r>
    </w:p>
    <w:p>
      <w:r>
        <w:t>每个目标 J₁～J₄ 在不同模式下赋予不同权重，权重和为 1。★ 代表该模式下该目标的优先级：★=低 ★★=中 ★★★=高 ★★★★=最高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模式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  <w:sz w:val="18"/>
              </w:rPr>
              <w:t>J₁ 等效氢耗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  <w:sz w:val="18"/>
              </w:rPr>
              <w:t>J₂ 功率波动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J₃ 启停次数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  <w:sz w:val="18"/>
              </w:rPr>
              <w:t>J₄ 效率偏差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权重分配依据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① 巡航经济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0.55 ★★★★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0.10 ★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0.10 ★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0.25 ★★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长时稳定 → 省氢立竿见影；</w:t>
              <w:br/>
              <w:t>波动/启停天生少；偏差长时累积不可忽视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② 精细作业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0.10 ★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0.55 ★★★★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0.05 ★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0.30 ★★★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功率抖动直接影响作业精度 → 稳定压倒一切；</w:t>
              <w:br/>
              <w:t>低负载下偏差容易被放大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③ 高功率作业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0.25 ★★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0.40 ★★★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0.05 ★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0.30 ★★★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大功率下供气滞后危险 → 波动控制关键；</w:t>
              <w:br/>
              <w:t>偏差控制防止某堆过载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④ 停泊待命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0.05 ★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0.05 ★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0.70 ★★★★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0.20 ★★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氢耗/波动几乎不重要；</w:t>
              <w:br/>
              <w:t>启停是寿命第一杀手 → 宁可 idle 不 shutdown；</w:t>
              <w:br/>
              <w:t>低负载偏差也要关注</w:t>
            </w:r>
          </w:p>
        </w:tc>
      </w:tr>
    </w:tbl>
    <w:p/>
    <w:p>
      <w:r>
        <w:t>说明：上述权重为推荐起始值，实际工程中可通过层次分析法（AHP）结合专家打分标定，或通过仿真敏感性分析微调。权重切换时建议加 0.5–2s 线性过渡（防突变震荡）。</w:t>
      </w:r>
    </w:p>
    <w:p>
      <w:r>
        <w:br w:type="page"/>
      </w:r>
    </w:p>
    <w:p>
      <w:pPr>
        <w:pStyle w:val="Heading1"/>
      </w:pPr>
      <w:r>
        <w:t>四、硬约束在各模式下的松紧变化（核心表）</w:t>
      </w:r>
    </w:p>
    <w:p>
      <w:r>
        <w:t>硬约束不参与 Pareto 优化，但不同模式下部分约束的边界值可以适当放宽或收紧。L2 安全保底模式下所有约束取最严值。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587"/>
          </w:tcPr>
          <w:p>
            <w:pPr>
              <w:jc w:val="center"/>
            </w:pPr>
            <w:r>
              <w:rPr>
                <w:b/>
                <w:sz w:val="17"/>
              </w:rPr>
              <w:t>约束项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  <w:sz w:val="17"/>
              </w:rPr>
              <w:t>基准值</w:t>
              <w:br/>
              <w:t>(无模式区分)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7"/>
              </w:rPr>
              <w:t>① 巡航经济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7"/>
              </w:rPr>
              <w:t>② 精细作业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7"/>
              </w:rPr>
              <w:t>③ 高功率作业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7"/>
              </w:rPr>
              <w:t>④ 停泊待命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  <w:sz w:val="17"/>
              </w:rPr>
              <w:t>L2 安全保底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功率变化率</w:t>
              <w:br/>
              <w:t>|dP/dt|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≤ 5 kW/s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5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2 ← 更严</w:t>
              <w:br/>
              <w:t>(防抖动)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8 ← 放宽</w:t>
              <w:br/>
              <w:t>(响应需求)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5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≤ 3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负载跟随</w:t>
              <w:br/>
              <w:t>t_response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≤ 2 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1 ← 更严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0.5 ← 最严</w:t>
              <w:br/>
              <w:t>(紧急避障)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5 ← 放宽</w:t>
              <w:br/>
              <w:t>(无急迫)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不考核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温度窗口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60–80°C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60–80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60–80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60–80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55–75 ← 放宽下限</w:t>
              <w:br/>
              <w:t>(省保温能耗)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55–80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堆间温差</w:t>
              <w:br/>
              <w:t>ΔT_max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≤ 5°C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5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3 ← 更严</w:t>
              <w:br/>
              <w:t>(防止偏差干</w:t>
              <w:br/>
              <w:t>扰作业)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5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5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≤ 3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单池最低电压</w:t>
              <w:br/>
              <w:t>V_cell_min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≥ 0.55 V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0.55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0.60 ← 更严</w:t>
              <w:br/>
              <w:t>(高可靠性)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0.50 ← 放宽</w:t>
              <w:br/>
              <w:t>(短时可忍)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0.55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≥ 0.60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母线电压</w:t>
              <w:br/>
              <w:t>波动 ΔV_bus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≤ ±5%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±5%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±2% ← 最严</w:t>
              <w:br/>
              <w:t>(作业设备)</w:t>
              <w:br/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±5%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±5%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≤ ±5%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过载能力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120%/30s</w:t>
              <w:br/>
              <w:t>(紧急)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不启用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不启用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150%/60s ← 增强</w:t>
              <w:br/>
              <w:t>避障冗余)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不启用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已激活</w:t>
              <w:br/>
              <w:t>(默认)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冷启动能耗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≤ 5% SOC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不考核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不考核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不考核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2% SOC ← 更严</w:t>
              <w:br/>
              <w:t>(闲时少耗电)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不考核</w:t>
            </w:r>
          </w:p>
        </w:tc>
      </w:tr>
      <w:tr>
        <w:tc>
          <w:tcPr>
            <w:tcW w:type="dxa" w:w="1587"/>
          </w:tcPr>
          <w:p>
            <w:r>
              <w:rPr>
                <w:sz w:val="17"/>
              </w:rPr>
              <w:t>H₂ 浓度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≤ 0.4% LFL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0.4%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0.2% ← 更严</w:t>
              <w:br/>
              <w:t>(作业舱有人)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0.4%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0.4%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≤ 0.1% ← 最严</w:t>
              <w:br/>
              <w:t>(预泄漏)</w:t>
            </w:r>
          </w:p>
        </w:tc>
      </w:tr>
    </w:tbl>
    <w:p/>
    <w:p>
      <w:r>
        <w:rPr>
          <w:b/>
        </w:rPr>
        <w:t>表格解读规则：</w:t>
      </w:r>
      <w:r>
        <w:t xml:space="preserve"> ← 更严 = 约束收紧（安全性或品质要求更高，括号内写原因）；</w:t>
      </w:r>
      <w:r>
        <w:t xml:space="preserve"> ← 放宽 = 约束放松（牺牲一定安全性换取性能）；</w:t>
      </w:r>
      <w:r>
        <w:t xml:space="preserve"> 不考核 = 该模式下此项不构成限制。</w:t>
      </w:r>
    </w:p>
    <w:p>
      <w:r>
        <w:br w:type="page"/>
      </w:r>
    </w:p>
    <w:p>
      <w:pPr>
        <w:pStyle w:val="Heading1"/>
      </w:pPr>
      <w:r>
        <w:t>五、L2 安全保底模式详解</w:t>
      </w:r>
    </w:p>
    <w:p>
      <w:r>
        <w:t>L2 不是"一个模式"，而是一组安全规则的集合。当任意安全阈值被触发时，L2 立即覆盖 L1 的正常优化。目标函数退化为：</w:t>
      </w:r>
    </w:p>
    <w:p>
      <w:r>
        <w:rPr>
          <w:b/>
        </w:rPr>
        <w:t xml:space="preserve">  J_L2 = 0 · J₁ + 0 · J₂ + 0 · J₃ + 0 · J₄ + 1.0 · J_safety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触发条件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阈值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L2 动作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恢复正常条件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单电池电压越限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V_cell &lt; 0.55 V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降功率 10%/s 直到 V_cell 恢复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V_cell &gt; 0.60 V 持续 10s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堆间温差越限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ΔT &gt; 5°C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重新分配功率，降低高温堆负载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ΔT &lt; 3°C 持续 30s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H₂ 浓度越限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C_H₂ &gt; 0.4% LFL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切断氢源 + 强制通风 + 停机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H₂ &lt; 0.1% 且排查完泄漏源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绝缘电阻越限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R_ins &lt; 1 MΩ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逐堆切出定位泄漏堆 → 切出该堆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替换故障堆后人工复位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功率变化率超硬件极限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|dP/dt| &gt; 15 kW/s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强制限幅到 5 kW/s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负载变化率回落持续 5s</w:t>
            </w:r>
          </w:p>
        </w:tc>
      </w:tr>
    </w:tbl>
    <w:p/>
    <w:p>
      <w:pPr>
        <w:pStyle w:val="Heading1"/>
      </w:pPr>
      <w:r>
        <w:t>六、故障降级模式详解</w:t>
      </w:r>
    </w:p>
    <w:p>
      <w:r>
        <w:t>故障降级是异步触发的，与 L1/L2 正交。当某堆故障被诊断确认后执行：</w:t>
      </w:r>
    </w:p>
    <w:p>
      <w:pPr>
        <w:pStyle w:val="Heading2"/>
      </w:pPr>
      <w:r>
        <w:t>6.1 故障降级下的目标权重重新标定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正常 (4 堆)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18"/>
              </w:rPr>
              <w:t>故障降级 (N-1 或 N-2)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J₁ 氢耗权重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按 L1 模式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↑ 上浮 10–20%（剩余堆跑更多功率，效率更关键）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J₂ 波动权重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按 L1 模式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↑ 上浮 10%（剩余堆负担重，波动危害更大）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J₃ 启停权重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按 L1 模式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→ 不变（降级途中不应再启停）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J₄ 偏差权重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按 L1 模式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↓ 下调 10–15%（故障堆已切出，剩余堆偏差意义降低）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安全约束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正常值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全部收紧到 L2 级别（系统容错余量减少）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功率上限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 × 100%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(N−1) × 100%（自动降额）</w:t>
            </w:r>
          </w:p>
        </w:tc>
      </w:tr>
    </w:tbl>
    <w:p>
      <w:pPr>
        <w:pStyle w:val="Heading2"/>
      </w:pPr>
      <w:r>
        <w:t>6.2 故障恢复路径</w:t>
      </w:r>
    </w:p>
    <w:p>
      <w:r>
        <w:t>故障堆修复/更换后重新并入系统的流程：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动作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条件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耗时估计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故障堆隔离确认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故障已定位，已切出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修复/更换故障堆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备件到位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1–4 h (深海换堆)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气密性测试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各腔保压 5 min 压降 &lt; 1%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 min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绝缘测试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R_ins ≥ 1 MΩ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 min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低功率预热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5–10% 额定功率运行至温度稳定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15–30 min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逐步加载并入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以 2 kW/s 加载到目标功率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1–2 min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偏差监控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确认 σ_eff &lt; 初始阈值后切回 L1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 min</w:t>
            </w:r>
          </w:p>
        </w:tc>
      </w:tr>
    </w:tbl>
    <w:p>
      <w:r>
        <w:br w:type="page"/>
      </w:r>
    </w:p>
    <w:p>
      <w:pPr>
        <w:pStyle w:val="Heading1"/>
      </w:pPr>
      <w:r>
        <w:t>七、完整速查表——所有模式的目标 + 约束一览</w:t>
      </w:r>
    </w:p>
    <w:p>
      <w:r>
        <w:t>一张表看清楚所有模式下四个目标的权重走向和约束松紧趋势：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7"/>
              </w:rPr>
              <w:t>模式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7"/>
              </w:rPr>
              <w:t>J₁</w:t>
              <w:br/>
              <w:t>氢耗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7"/>
              </w:rPr>
              <w:t>J₂</w:t>
              <w:br/>
              <w:t>波动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7"/>
              </w:rPr>
              <w:t>J₃</w:t>
              <w:br/>
              <w:t>启停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7"/>
              </w:rPr>
              <w:t>J₄</w:t>
              <w:br/>
              <w:t>偏差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7"/>
              </w:rPr>
              <w:t>关键收紧约束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7"/>
              </w:rPr>
              <w:t>关键放宽约束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① 巡航经济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▲▲▲▲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▶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▶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▲▲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堆间温差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② 精细作业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▶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▲▲▲▲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▶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▲▲▲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ΔV_bus ≤ ±2%</w:t>
              <w:br/>
              <w:t>|dP/dt| ≤ 2 kW/s</w:t>
              <w:br/>
              <w:t>H₂ ≤ 0.2% LFL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③ 高功率作业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▲▲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▲▲▲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▶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▲▲▲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响应 ≤ 0.5s</w:t>
              <w:br/>
              <w:t>过载 150%/60s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V_cell ≥ 0.50V</w:t>
              <w:br/>
              <w:t>|dP/dt| ≤ 8 kW/s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④ 停泊待命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▶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▶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▲▲▲▲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▲▲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冷启动 ≤ 2% SOC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响应 ≤ 5s</w:t>
              <w:br/>
              <w:t>温度 55–75°C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L2 安全保底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×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×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×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×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全部最严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故障降级 (N-1)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▲▲▲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▲▲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▶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▲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全部 → L2 级别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功率上限降额</w:t>
              <w:br/>
              <w:t>偏差权重下调</w:t>
            </w:r>
          </w:p>
        </w:tc>
      </w:tr>
    </w:tbl>
    <w:p/>
    <w:p>
      <w:r>
        <w:rPr>
          <w:b/>
        </w:rPr>
        <w:t>图例：</w:t>
      </w:r>
      <w:r>
        <w:t>▲▲▲▲ = 最高优先级  ▲▲▲ = 高优先级  ▲▲ = 中优先级  ▶ = 低优先级  × = 不参与优化</w:t>
      </w:r>
    </w:p>
    <w:p/>
    <w:p>
      <w:pPr>
        <w:jc w:val="center"/>
      </w:pPr>
      <w: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