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C6E"/>
          <w:sz w:val="44"/>
        </w:rPr>
        <w:t>深海多堆燃料电池系统</w:t>
        <w:br/>
        <w:t>工程因素全览</w:t>
      </w:r>
    </w:p>
    <w:p>
      <w:pPr>
        <w:jc w:val="center"/>
      </w:pPr>
      <w:r>
        <w:rPr>
          <w:sz w:val="24"/>
        </w:rPr>
        <w:t>多目标优化框架下的工程因素映射 · 2026-07</w:t>
      </w:r>
    </w:p>
    <w:p>
      <w:r>
        <w:br w:type="page"/>
      </w:r>
    </w:p>
    <w:p>
      <w:pPr>
        <w:pStyle w:val="Heading1"/>
      </w:pPr>
      <w:r>
        <w:t>一、四个优化目标到工程因素的全映射</w:t>
      </w:r>
    </w:p>
    <w:p>
      <w:r>
        <w:t>本研究的四个优化目标（等效氢耗、功率波动频率、电堆启停次数、四堆效率偏差）分别映射到 7 个顶层工程维度。下表是开题总结对照表：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优化目标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工程维度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直接工程指标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物理单位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因素类型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20"/>
              </w:rPr>
              <w:t>参考权重</w:t>
              <w:br/>
              <w:t>(深海)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1. 等效氢耗最小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经济性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续航里程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km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目标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经济性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燃料成本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¥/任务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目标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储运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储氢/储氧系统体积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m³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热管理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散热系统功耗占比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% of BOP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安全性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储氢量→泄漏风险池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风险分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2. 功率波动最小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耐久性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电堆机械/热寿命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目标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耐久性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BOP 附件寿命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目标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声学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声辐射/振动特征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dB re 1µPa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目标(军用)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电气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DC/DC 可靠性 + EMC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MTBF/dBµV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动态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负载跟随响应时间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s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3. 启停次数最少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耐久性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碳腐蚀寿命(最大杀手)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次→h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目标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★★★★★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安全性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任务可靠性(启动失败率)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[0,1]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能耗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冷启动+待机功耗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% SOC/次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消耗品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吹扫 N₂ 消耗量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L/次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4. 效率偏差最小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维护性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堆间均衡老化→维护周期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h/更换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目标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  <w:t>★★★★☆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安全性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故障预警灵敏度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h 提前量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目标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物流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备件库存策略复杂度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种类/年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可扩展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能否推广到 6/8 堆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是/否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设计验证</w:t>
            </w:r>
          </w:p>
        </w:tc>
        <w:tc>
          <w:tcPr>
            <w:tcW w:type="dxa" w:w="102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二、各目标详解</w:t>
      </w:r>
    </w:p>
    <w:p>
      <w:pPr>
        <w:pStyle w:val="Heading2"/>
      </w:pPr>
      <w:r>
        <w:t>2.1 等效氢耗最小 → 续航 + 燃料成本 + 储氢体积</w:t>
      </w:r>
    </w:p>
    <w:p>
      <w:r>
        <w:t>等效氢耗将电池净电耗折算为等效氢气消耗，统一度量后最小化。这是最直观的经济性指标——同样储氢量下跑得更远。在深海场景中，补氢几乎不可能，续航即任务半径。然而，单纯追求低氢耗往往需要频繁调整功率适配负载，与目标 2 和 3 冲突。此外，氢耗低 → 储氢需求小 → 储罐体积/重量减小 → 更多舱体空间留给有效载荷。</w:t>
      </w:r>
    </w:p>
    <w:p>
      <w:pPr>
        <w:pStyle w:val="Heading2"/>
      </w:pPr>
      <w:r>
        <w:t>2.2 功率波动频率最小 → 寿命 + 声学 + DC/DC 可靠性</w:t>
      </w:r>
    </w:p>
    <w:p>
      <w:r>
        <w:t>燃料电池“怕变不怕稳”。频繁的功率波动带来连锁损伤链：</w:t>
      </w:r>
    </w:p>
    <w:p>
      <w:pPr>
        <w:pStyle w:val="ListBullet"/>
        <w:ind w:left="680"/>
      </w:pPr>
      <w:r>
        <w:t>机械应力：MEA 反复膨胀收缩 → 膜电极机械疲劳</w:t>
      </w:r>
    </w:p>
    <w:p>
      <w:pPr>
        <w:pStyle w:val="ListBullet"/>
        <w:ind w:left="680"/>
      </w:pPr>
      <w:r>
        <w:t>气体饥饿：电流突变时供气滞后 → 反极腐蚀催化剂</w:t>
      </w:r>
    </w:p>
    <w:p>
      <w:pPr>
        <w:pStyle w:val="ListBullet"/>
        <w:ind w:left="680"/>
      </w:pPr>
      <w:r>
        <w:t>热循环：功率变化 → 温度梯度冲击 → 密封失效加速</w:t>
      </w:r>
    </w:p>
    <w:p>
      <w:pPr>
        <w:pStyle w:val="ListBullet"/>
        <w:ind w:left="680"/>
      </w:pPr>
      <w:r>
        <w:t>DC/DC 变换器 IGBT 开关损耗随波动频次上升 → 键合线疲劳脱落</w:t>
      </w:r>
    </w:p>
    <w:p>
      <w:pPr>
        <w:pStyle w:val="ListBullet"/>
        <w:ind w:left="680"/>
      </w:pPr>
      <w:r>
        <w:t>声学：功率波动 = 电磁噪声 + 泵阀机械噪声频谱变化 (水下隐身穿透)</w:t>
      </w:r>
    </w:p>
    <w:p>
      <w:r>
        <w:t>深海场景中热管理惯性更大，功率波动的危害被放大。典型约束：功率变化率 ≤ 3–5 kW/s。对军用潜航器而言，声学特征可能是比寿命更优先的指标。</w:t>
      </w:r>
    </w:p>
    <w:p>
      <w:pPr>
        <w:pStyle w:val="Heading2"/>
      </w:pPr>
      <w:r>
        <w:t>2.3 电堆启停次数最少 → 寿命 + 可靠性 + 辅助能耗</w:t>
      </w:r>
    </w:p>
    <w:p>
      <w:r>
        <w:t>启停是电堆衰减的最大来源 (50–60%)：</w:t>
      </w:r>
    </w:p>
    <w:p>
      <w:pPr>
        <w:pStyle w:val="ListBullet"/>
        <w:ind w:left="680"/>
      </w:pPr>
      <w:r>
        <w:t>启动阶段：低电压 + 高电位 → 碳载体腐蚀 (Carbon Corrosion)，Pt 催化剂脱落</w:t>
      </w:r>
    </w:p>
    <w:p>
      <w:pPr>
        <w:pStyle w:val="ListBullet"/>
        <w:ind w:left="680"/>
      </w:pPr>
      <w:r>
        <w:t>停机阶段：阳极残留 H₂ + O₂ → 氢-空界面 → 阳极高电位腐蚀</w:t>
      </w:r>
    </w:p>
    <w:p>
      <w:pPr>
        <w:pStyle w:val="ListBullet"/>
        <w:ind w:left="680"/>
      </w:pPr>
      <w:r>
        <w:t>数据：一次启停 ≈ 连续运行数小时的衰减量</w:t>
      </w:r>
    </w:p>
    <w:p>
      <w:pPr>
        <w:pStyle w:val="ListBullet"/>
        <w:ind w:left="680"/>
      </w:pPr>
      <w:r>
        <w:t>深海冷启动耗时 15–30 分钟，消耗 2–5% SOC，且存在启动失败 → 任务失败风险</w:t>
      </w:r>
    </w:p>
    <w:p>
      <w:pPr>
        <w:pStyle w:val="ListBullet"/>
        <w:ind w:left="680"/>
      </w:pPr>
      <w:r>
        <w:t>工程妥协：深海潜航器通常不关机，全程低功率 idle 保温</w:t>
      </w:r>
    </w:p>
    <w:p>
      <w:pPr>
        <w:pStyle w:val="Heading2"/>
      </w:pPr>
      <w:r>
        <w:t>2.4 四堆效率偏差最小 → 均衡老化 + 故障预警 + 维护经济性</w:t>
      </w:r>
    </w:p>
    <w:p>
      <w:r>
        <w:t>多堆系统特有的目标，核心是短板效应：</w:t>
      </w:r>
    </w:p>
    <w:p>
      <w:pPr>
        <w:pStyle w:val="ListBullet"/>
        <w:ind w:left="680"/>
      </w:pPr>
      <w:r>
        <w:t>最差的一个堆决定整个系统的输出能力</w:t>
      </w:r>
    </w:p>
    <w:p>
      <w:pPr>
        <w:pStyle w:val="ListBullet"/>
        <w:ind w:left="680"/>
      </w:pPr>
      <w:r>
        <w:t>均衡老化 → 各堆同时到寿、同时更换 → 维护成本大幅降低</w:t>
      </w:r>
    </w:p>
    <w:p>
      <w:pPr>
        <w:pStyle w:val="ListBullet"/>
        <w:ind w:left="680"/>
      </w:pPr>
      <w:r>
        <w:t>偏差扩大是密封渗漏/催化剂中毒/冷却不均的先兆信号</w:t>
      </w:r>
    </w:p>
    <w:p>
      <w:pPr>
        <w:pStyle w:val="ListBullet"/>
        <w:ind w:left="680"/>
      </w:pPr>
      <w:r>
        <w:t>良好偏差控制意味着控制策略可推广到 6/8/12 堆架构</w:t>
      </w:r>
    </w:p>
    <w:p>
      <w:r>
        <w:br w:type="page"/>
      </w:r>
    </w:p>
    <w:p>
      <w:pPr>
        <w:pStyle w:val="Heading1"/>
      </w:pPr>
      <w:r>
        <w:t>三、深海环境的特殊性——附加工程考量</w:t>
      </w:r>
    </w:p>
    <w:p>
      <w:r>
        <w:t>地面车载的框架只是起点。深海环境引入了车载不存在的硬约束。</w:t>
      </w:r>
    </w:p>
    <w:p>
      <w:pPr>
        <w:pStyle w:val="Heading2"/>
      </w:pPr>
      <w:r>
        <w:t>3.1 高压环境 (2000m+ → 20MPa+)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工程问题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物理机制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后果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应对措施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气体压缩性非线性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高压下 H₂/O₂ 密度剧变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流量控制精度下降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温度/压力补偿模型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MEA 压差失衡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外静水压 vs 内气体压差超标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膜破裂或密封失效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压力补偿系统(≤1s)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高压气液分离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高压下气泡更小更难分离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水淹 → 反极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高压气液分离器</w:t>
            </w:r>
          </w:p>
        </w:tc>
      </w:tr>
      <w:tr>
        <w:tc>
          <w:tcPr>
            <w:tcW w:type="dxa" w:w="1984"/>
          </w:tcPr>
          <w:p>
            <w:r>
              <w:rPr>
                <w:sz w:val="19"/>
              </w:rPr>
              <w:t>密封蠕变加速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持续高压 O-ring 蠕变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海水渗入 → 短路</w:t>
            </w:r>
          </w:p>
        </w:tc>
        <w:tc>
          <w:tcPr>
            <w:tcW w:type="dxa" w:w="2268"/>
          </w:tcPr>
          <w:p>
            <w:r>
              <w:rPr>
                <w:sz w:val="19"/>
              </w:rPr>
              <w:t>FFKM / 双道密封</w:t>
            </w:r>
          </w:p>
        </w:tc>
      </w:tr>
    </w:tbl>
    <w:p>
      <w:pPr>
        <w:pStyle w:val="Heading2"/>
      </w:pPr>
      <w:r>
        <w:t>3.2 氧气供应策略</w:t>
      </w:r>
    </w:p>
    <w:p>
      <w:r>
        <w:t>深海没有空气 (21% O₂)，氧气来源分两路线：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方案 A: 携带纯氧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方案 B: 海水溶解氧提取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实现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高压氧罐 (液态/气态)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膜接触器萃取海水溶解 O₂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能量密度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高 (体积占比 15–20%)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低 (萃取能耗高)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续航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储氧量封顶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理论上无限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安全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纯氧泄漏 → 助燃风险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常压氧 → 安全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成熟度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成熟 (已工程化)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前沿 (实验室)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适用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浅海&lt;500m / 短期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深海长航时 AUV (远期)</w:t>
            </w:r>
          </w:p>
        </w:tc>
      </w:tr>
    </w:tbl>
    <w:p>
      <w:pPr>
        <w:pStyle w:val="Heading2"/>
      </w:pPr>
      <w:r>
        <w:t>3.3 低温海水热管理 + 压力瞬变</w:t>
      </w:r>
    </w:p>
    <w:p>
      <w:r>
        <w:t>深海海水 2–4°C vs 电堆 60–80°C，大温差是双刃剑：</w:t>
      </w:r>
    </w:p>
    <w:p>
      <w:pPr>
        <w:pStyle w:val="ListBullet"/>
        <w:ind w:left="680"/>
      </w:pPr>
      <w:r>
        <w:rPr>
          <w:b/>
        </w:rPr>
        <w:t>✅ 优势：</w:t>
      </w:r>
      <w:r>
        <w:t>散热效率极高 → 散热器体积可缩小</w:t>
      </w:r>
    </w:p>
    <w:p>
      <w:pPr>
        <w:pStyle w:val="ListBullet"/>
        <w:ind w:left="680"/>
      </w:pPr>
      <w:r>
        <w:rPr>
          <w:b/>
        </w:rPr>
        <w:t>❌ 陷阱：</w:t>
      </w:r>
      <w:r>
        <w:t>冷启动困难 → 需电加热或 H₂ 催化燃烧预热 (15–30 min)</w:t>
      </w:r>
    </w:p>
    <w:p>
      <w:pPr>
        <w:pStyle w:val="ListBullet"/>
        <w:ind w:left="680"/>
      </w:pPr>
      <w:r>
        <w:rPr>
          <w:b/>
        </w:rPr>
        <w:t>❌ 陷阱：</w:t>
      </w:r>
      <w:r>
        <w:t>局部过冷 → 冷凝水堆积 → 流道水淹</w:t>
      </w:r>
    </w:p>
    <w:p>
      <w:r>
        <w:t>浮潜过程压力瞬变：上浮/下潜时环境压力快速变化，&gt;2 m/s 潜航速度产生 &gt;20 kPa/s 压力变化率 → 压力补偿器响应必须 ≤ 1s，否则 MEA 压差超标 → 膜破裂。</w:t>
      </w:r>
    </w:p>
    <w:p>
      <w:r>
        <w:br w:type="page"/>
      </w:r>
    </w:p>
    <w:p>
      <w:pPr>
        <w:pStyle w:val="Heading1"/>
      </w:pPr>
      <w:r>
        <w:t>四、系统集成工程约束清单</w:t>
      </w:r>
    </w:p>
    <w:p>
      <w:r>
        <w:t>以下约束在优化模型中应作为硬边界（不参与 Pareto 优化）：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pPr>
              <w:jc w:val="center"/>
            </w:pPr>
            <w:r>
              <w:rPr>
                <w:b/>
                <w:sz w:val="20"/>
              </w:rPr>
              <w:t>分类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约束项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典型值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超出后果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电堆输出功率范围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20%–100% 额定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&lt;20% 水淹；&gt;100% 热失控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功率变化率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≤ 3–5 kW/s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供气滞后 → 反极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负载跟随时间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≤ 2 s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母线电压崩溃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性能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过载能力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120% (30s)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紧急避障不可用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热管理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电堆温度范围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60–80°C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低温低效；高温膜脱水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热管理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堆内温度均匀性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≤ 5°C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热点 → 非均匀老化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热管理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冷启动能耗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≤ 5% SOC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影响续航余量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安全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阳极-阴极压差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≤ 50 kPa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MEA 机械破裂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安全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单电池最低电压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≥ 0.55 V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反极 → 不可逆损伤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安全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舱内 H₂ 浓度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≤ 0.4% LFL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爆炸风险 (深海无逃生通道)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安全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绝缘电阻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≥ 1 MΩ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海水渗入短路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物理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储氢量上限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任务前确定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不可逾越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物理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系统总重/体积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舱体容量决定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装不进去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电气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母线电压波动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≤ ±5%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推进电机控制品质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电气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EMC 电磁兼容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MIL-STD-461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干扰声纳/通信</w:t>
            </w:r>
          </w:p>
        </w:tc>
      </w:tr>
    </w:tbl>
    <w:p>
      <w:r>
        <w:br w:type="page"/>
      </w:r>
    </w:p>
    <w:p>
      <w:pPr>
        <w:pStyle w:val="Heading1"/>
      </w:pPr>
      <w:r>
        <w:t>五、优化权重的场景迁移</w:t>
      </w:r>
    </w:p>
    <w:p>
      <w:r>
        <w:t>地面车载 vs 深海潜航器的优先级显著不同。核心判断：深海 = 安全 &gt; 寿命 &gt; 效率。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优化目标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地面车辆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深海潜航器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20"/>
              </w:rPr>
              <w:t>权重漂移原因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等效氢耗最小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补氢不可能，但安全约束更硬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功率波动最小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热管理惯性大 + 声学隐身要求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启停最少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冷启动能耗高 + 启动失败不可返回</w:t>
            </w:r>
          </w:p>
        </w:tc>
      </w:tr>
      <w:tr>
        <w:tc>
          <w:tcPr>
            <w:tcW w:type="dxa" w:w="1417"/>
          </w:tcPr>
          <w:p>
            <w:r>
              <w:rPr>
                <w:sz w:val="19"/>
              </w:rPr>
              <w:t>效率偏差最小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★★☆☆☆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偏差是静默失效先行指标</w:t>
            </w:r>
          </w:p>
        </w:tc>
      </w:tr>
    </w:tbl>
    <w:p/>
    <w:p>
      <w:pPr>
        <w:pStyle w:val="Heading2"/>
      </w:pPr>
      <w:r>
        <w:t>5.1 额外工程维度的加权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工程维度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地面车辆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深海潜航器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在优化框架中的位置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安全性 (泄漏/绝缘/压差)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★★★★★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硬约束，不参与 Pareto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声学特征/振动噪声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☆☆☆☆☆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★★★★★ (军用)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军用: 第6目标; 民用: 可忽略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堆内温度均匀性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建议第 5 优化目标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负载跟随响应速度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硬约束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系统复杂度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★★★☆☆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设计约束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可维护性 (模块化更换)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★★☆☆☆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★★★★☆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全生命周期成本影响</w:t>
            </w:r>
          </w:p>
        </w:tc>
      </w:tr>
    </w:tbl>
    <w:p>
      <w:r>
        <w:br w:type="page"/>
      </w:r>
    </w:p>
    <w:p>
      <w:pPr>
        <w:pStyle w:val="Heading1"/>
      </w:pPr>
      <w:r>
        <w:t>六、推荐的完整优化框架</w:t>
      </w:r>
    </w:p>
    <w:p>
      <w:r>
        <w:t>综合以上分析，建议将框架扩展如下：</w:t>
      </w:r>
    </w:p>
    <w:p>
      <w:pPr>
        <w:pStyle w:val="Heading2"/>
      </w:pPr>
      <w:r>
        <w:t>6.1 优化目标 (Pareto 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目标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隶属工程维度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等效氢耗最小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必选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经济性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所有场景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功率波动频率最小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必选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耐久性+声学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所有场景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电堆启停次数最少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必选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耐久性+安全性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所有场景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四堆效率偏差最小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必选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维护性+预警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所有场景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堆内温度均匀性最大化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建议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热管理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所有场景 (深海尤甚)</w:t>
            </w:r>
          </w:p>
        </w:tc>
      </w:tr>
      <w:tr>
        <w:tc>
          <w:tcPr>
            <w:tcW w:type="dxa" w:w="567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声学特征优化 (声压谱)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可选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声学隐身</w:t>
            </w:r>
          </w:p>
        </w:tc>
        <w:tc>
          <w:tcPr>
            <w:tcW w:type="dxa" w:w="1984"/>
          </w:tcPr>
          <w:p>
            <w:r>
              <w:rPr>
                <w:sz w:val="19"/>
              </w:rPr>
              <w:t>军用/敏感任务</w:t>
            </w:r>
          </w:p>
        </w:tc>
      </w:tr>
    </w:tbl>
    <w:p>
      <w:pPr>
        <w:pStyle w:val="Heading2"/>
      </w:pPr>
      <w:r>
        <w:t>6.2 硬约束 (不参与优化)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  <w:sz w:val="20"/>
              </w:rPr>
              <w:t>约束项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安全性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H₂ 浓度 / 绝缘 / 单池最低电压 / 压差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4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动态性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负载跟随时间 / 过载能力 / 母线波动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热边界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温度窗口 / 冷启动时间 / 温度均匀性上限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物理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储氢量 / 总重量 / 总体积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1134"/>
          </w:tcPr>
          <w:p>
            <w:r>
              <w:rPr>
                <w:sz w:val="19"/>
              </w:rPr>
              <w:t>电气</w:t>
            </w:r>
          </w:p>
        </w:tc>
        <w:tc>
          <w:tcPr>
            <w:tcW w:type="dxa" w:w="5669"/>
          </w:tcPr>
          <w:p>
            <w:r>
              <w:rPr>
                <w:sz w:val="19"/>
              </w:rPr>
              <w:t>EMC 限值 / DC/DC 效率下限</w:t>
            </w:r>
          </w:p>
        </w:tc>
        <w:tc>
          <w:tcPr>
            <w:tcW w:type="dxa" w:w="850"/>
          </w:tcPr>
          <w:p>
            <w:r>
              <w:rPr>
                <w:sz w:val="19"/>
              </w:rP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t>附录：工程因素 → 优化数学模型映射</w:t>
      </w:r>
    </w:p>
    <w:p>
      <w:r>
        <w:t>将工程因素转化为数学优化模型的建议映射关系：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工程因素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20"/>
              </w:rPr>
              <w:t>优化变量类型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20"/>
              </w:rPr>
              <w:t>数学模型表示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续航里程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目标函数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J₁ = ∫ Ḥ₂_eq dt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等效氢耗累计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电堆寿命 (机械+碳腐蚀)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目标函数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J₂ = 1/(αN_start + β∫|dP/dt|dt)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启停+波动联合建模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系统可靠性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目标函数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J₃ = σ_eff⁻¹ · (1 − P_fail)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偏差→预警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堆内温度均匀性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目标(新增)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J₄ = max(T_ij) − min(T_ij)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第 5 目标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声学特征 (军用水下)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目标(军用)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J₅ = ∫ S(f) · W(f) df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声压谱密×听觉加权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功率范围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P_min ≤ P ≤ P_max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硬件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功率变化率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|dP/dt| ≤ ΔP_max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硬件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负载跟随时间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t_response ≤ 2 s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动态硬约束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电堆温度窗口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T_min ≤ T ≤ T_max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硬件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阳极-阴极压差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|P_an − P_ca| ≤ 50 kPa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安全红线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单电池最低电压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V_cell ≥ 0.55 V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安全红线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舱内 H₂ 浓度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C_H2 ≤ 0.4% LFL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安全红线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绝缘电阻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R_ins ≥ 1 MΩ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安全红线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储氢量上限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∫ Ḥ_total dt ≤ V_H₂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物理上限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系统总重/体积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W ≤ W_max, V ≤ V_max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舱体限制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过载能力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P_max ≥ 120% · P_rated (30s)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紧急避障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母线电压波动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ΔV_bus ≤ ±5%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电机控制品质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冷启动能耗</w:t>
            </w:r>
          </w:p>
        </w:tc>
        <w:tc>
          <w:tcPr>
            <w:tcW w:type="dxa" w:w="1417"/>
          </w:tcPr>
          <w:p>
            <w:r>
              <w:rPr>
                <w:sz w:val="19"/>
              </w:rPr>
              <w:t>约束</w:t>
            </w:r>
          </w:p>
        </w:tc>
        <w:tc>
          <w:tcPr>
            <w:tcW w:type="dxa" w:w="3118"/>
          </w:tcPr>
          <w:p>
            <w:r>
              <w:rPr>
                <w:sz w:val="19"/>
              </w:rPr>
              <w:t>E_start ≤ 5% SOC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电池容量限制</w:t>
            </w:r>
          </w:p>
        </w:tc>
      </w:tr>
    </w:tbl>
    <w:p/>
    <w:p>
      <w:pPr>
        <w:jc w:val="center"/>
      </w:pPr>
      <w: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