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SQP-ECMS 混合能量管理策略 — 逐行原理分析</w:t>
      </w:r>
    </w:p>
    <w:p>
      <w:r>
        <w:rPr>
          <w:rFonts w:ascii="Microsoft YaHei" w:hAnsi="Microsoft YaHei" w:eastAsia="Microsoft YaHei"/>
          <w:b/>
          <w:color w:val="646464"/>
          <w:sz w:val="22"/>
        </w:rPr>
        <w:t>文件：scripts/mpc_ems_sqp_ecms.py</w:t>
      </w:r>
    </w:p>
    <w:p>
      <w:r>
        <w:rPr>
          <w:rFonts w:ascii="Microsoft YaHei" w:hAnsi="Microsoft YaHei" w:eastAsia="Microsoft YaHei"/>
          <w:b w:val="0"/>
          <w:color w:val="969696"/>
          <w:sz w:val="20"/>
        </w:rPr>
        <w:t>生成日期：2026-07-09</w:t>
      </w:r>
    </w:p>
    <w:p>
      <w:pPr>
        <w:pStyle w:val="Heading1"/>
      </w:pPr>
      <w:r>
        <w:rPr>
          <w:rFonts w:ascii="Microsoft YaHei" w:hAnsi="Microsoft YaHei" w:eastAsia="Microsoft YaHei"/>
        </w:rPr>
        <w:t>1. 为什么需要 SQP-ECMS 混合？</w:t>
      </w:r>
    </w:p>
    <w:p>
      <w:r>
        <w:rPr>
          <w:rFonts w:ascii="Microsoft YaHei" w:hAnsi="Microsoft YaHei" w:eastAsia="Microsoft YaHei"/>
          <w:b w:val="0"/>
          <w:sz w:val="21"/>
        </w:rPr>
        <w:t>四种策略各有短板：</w:t>
      </w:r>
    </w:p>
    <w:p>
      <w:r>
        <w:rPr>
          <w:rFonts w:ascii="Microsoft YaHei" w:hAnsi="Microsoft YaHei" w:eastAsia="Microsoft YaHei"/>
          <w:b w:val="0"/>
          <w:sz w:val="21"/>
        </w:rPr>
        <w:t>① 网格 MPC：精度受分辨率限制，计算量随维度指数增长</w:t>
      </w:r>
    </w:p>
    <w:p>
      <w:r>
        <w:rPr>
          <w:rFonts w:ascii="Microsoft YaHei" w:hAnsi="Microsoft YaHei" w:eastAsia="Microsoft YaHei"/>
          <w:b w:val="0"/>
          <w:sz w:val="21"/>
        </w:rPr>
        <w:t>② SQP 1D：速度快，但假设 P_fc 在时域内恒定，无法精细分配</w:t>
      </w:r>
    </w:p>
    <w:p>
      <w:r>
        <w:rPr>
          <w:rFonts w:ascii="Microsoft YaHei" w:hAnsi="Microsoft YaHei" w:eastAsia="Microsoft YaHei"/>
          <w:b w:val="0"/>
          <w:sz w:val="21"/>
        </w:rPr>
        <w:t>③ SQP SEQ：可以优化控制序列，但非凸代价函数 + SQP 易陷局部极小</w:t>
      </w:r>
    </w:p>
    <w:p>
      <w:r>
        <w:rPr>
          <w:rFonts w:ascii="Microsoft YaHei" w:hAnsi="Microsoft YaHei" w:eastAsia="Microsoft YaHei"/>
          <w:b w:val="0"/>
          <w:sz w:val="21"/>
        </w:rPr>
        <w:t>④ 标准 ECMS：数学优雅（仅一个参数 s），但没有预测能力（贪婪决策）</w:t>
      </w:r>
    </w:p>
    <w:p>
      <w:r>
        <w:rPr>
          <w:rFonts w:ascii="Microsoft YaHei" w:hAnsi="Microsoft YaHei" w:eastAsia="Microsoft YaHei"/>
          <w:b w:val="0"/>
          <w:sz w:val="21"/>
        </w:rPr>
        <w:t>SQP-ECMS 混合的思路：用 ECMS 的简洁代价函数替换 MPC 的繁重多权重代价，</w:t>
      </w:r>
    </w:p>
    <w:p>
      <w:r>
        <w:rPr>
          <w:rFonts w:ascii="Microsoft YaHei" w:hAnsi="Microsoft YaHei" w:eastAsia="Microsoft YaHei"/>
          <w:b w:val="0"/>
          <w:sz w:val="21"/>
        </w:rPr>
        <w:t>同时保留 SQP 的序列优化能力——既简洁又有预测。</w:t>
      </w:r>
    </w:p>
    <w:p>
      <w:pPr>
        <w:pStyle w:val="Heading1"/>
      </w:pPr>
      <w:r>
        <w:rPr>
          <w:rFonts w:ascii="Microsoft YaHei" w:hAnsi="Microsoft YaHei" w:eastAsia="Microsoft YaHei"/>
        </w:rPr>
        <w:t>2. 目标函数设计</w:t>
      </w:r>
    </w:p>
    <w:p>
      <w:r>
        <w:rPr>
          <w:rFonts w:ascii="Microsoft YaHei" w:hAnsi="Microsoft YaHei" w:eastAsia="Microsoft YaHei"/>
          <w:b w:val="0"/>
          <w:sz w:val="21"/>
        </w:rPr>
        <w:t>相比 MPC 的 8 个调参权重，SQP-ECMS 只有 2 个核心参数：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s（等效因子）— 电池功率折算为虚拟氢耗的系数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β_term（终端惩罚）— 终点 SOC 偏离 SOC_ref 的惩罚</w:t>
      </w:r>
    </w:p>
    <w:p>
      <w:pPr>
        <w:ind w:left="283"/>
      </w:pPr>
      <w:r>
        <w:rPr>
          <w:rFonts w:ascii="Consolas" w:hAnsi="Consolas" w:eastAsia="Microsoft YaHei"/>
          <w:color w:val="323232"/>
          <w:sz w:val="17"/>
        </w:rPr>
        <w:t>min  J = Σ_{i=0}^{N_p-1} [ m_H₂(P_fc[i]) + s × |P_bat[i]| / 3600 ]</w:t>
        <w:br/>
        <w:t xml:space="preserve">         + β_term × (SOC[N_p] - SOC_ref)²</w:t>
        <w:br/>
        <w:t xml:space="preserve">         + w_slew × (P_fc[i] - P_fc[i-1])²</w:t>
      </w:r>
    </w:p>
    <w:p>
      <w:r>
        <w:rPr>
          <w:rFonts w:ascii="Microsoft YaHei" w:hAnsi="Microsoft YaHei" w:eastAsia="Microsoft YaHei"/>
          <w:b w:val="0"/>
          <w:sz w:val="21"/>
        </w:rPr>
        <w:t>对比标准 MPC 代价函数（8 个参数）：</w:t>
      </w:r>
    </w:p>
    <w:p>
      <w:pPr>
        <w:ind w:left="283"/>
      </w:pPr>
      <w:r>
        <w:rPr>
          <w:rFonts w:ascii="Consolas" w:hAnsi="Consolas" w:eastAsia="Microsoft YaHei"/>
          <w:color w:val="323232"/>
          <w:sz w:val="17"/>
        </w:rPr>
        <w:t>MPC:  J = Σ [ m_H₂ + s×|P_bat| + w_soc×ΔSOC² + w_soc_low×gap²</w:t>
        <w:br/>
        <w:t xml:space="preserve">         + w_slew×slew² ] + β_term×ΔSOC²_term + w_final×gap_final²</w:t>
      </w:r>
    </w:p>
    <w:p>
      <w:r>
        <w:rPr>
          <w:rFonts w:ascii="Microsoft YaHei" w:hAnsi="Microsoft YaHei" w:eastAsia="Microsoft YaHei"/>
          <w:i/>
          <w:color w:val="004682"/>
          <w:sz w:val="19"/>
        </w:rPr>
        <w:t>📌 SQP-ECMS 去掉了 w_soc、soc_deadband、soc_soft_min、w_soc_low、soc_final_tol、w_final_soc 六个调参项</w:t>
      </w:r>
    </w:p>
    <w:p>
      <w:pPr>
        <w:pStyle w:val="Heading1"/>
      </w:pPr>
      <w:r>
        <w:rPr>
          <w:rFonts w:ascii="Microsoft YaHei" w:hAnsi="Microsoft YaHei" w:eastAsia="Microsoft YaHei"/>
        </w:rPr>
        <w:t>3. 自适应等效因子</w:t>
      </w:r>
    </w:p>
    <w:p>
      <w:r>
        <w:rPr>
          <w:rFonts w:ascii="Microsoft YaHei" w:hAnsi="Microsoft YaHei" w:eastAsia="Microsoft YaHei"/>
          <w:b w:val="0"/>
          <w:sz w:val="21"/>
        </w:rPr>
        <w:t>等效因子 s 在每个时间步根据 SOC 偏差自适应调整（A-ECMS 风格）：</w:t>
      </w:r>
    </w:p>
    <w:p>
      <w:pPr>
        <w:ind w:left="283"/>
      </w:pPr>
      <w:r>
        <w:rPr>
          <w:rFonts w:ascii="Consolas" w:hAnsi="Consolas" w:eastAsia="Microsoft YaHei"/>
          <w:color w:val="323232"/>
          <w:sz w:val="17"/>
        </w:rPr>
        <w:t>s(k) = s₀ × (1 + Kp × (SOC_ref - SOC(k)))</w:t>
        <w:br/>
        <w:t>s(k) = clip(s(k), 50, 350)</w:t>
      </w:r>
    </w:p>
    <w:p>
      <w:r>
        <w:rPr>
          <w:rFonts w:ascii="Microsoft YaHei" w:hAnsi="Microsoft YaHei" w:eastAsia="Microsoft YaHei"/>
          <w:b w:val="0"/>
          <w:sz w:val="21"/>
        </w:rPr>
        <w:t>SOC 偏低时 s 增大 → 电池放电代价变高 → 倾向用 FC 充电</w:t>
      </w:r>
    </w:p>
    <w:p>
      <w:r>
        <w:rPr>
          <w:rFonts w:ascii="Microsoft YaHei" w:hAnsi="Microsoft YaHei" w:eastAsia="Microsoft YaHei"/>
          <w:b w:val="0"/>
          <w:sz w:val="21"/>
        </w:rPr>
        <w:t>SOC 偏高时 s 减小 → 电池放电代价变低 → 倾向用电池放电</w:t>
      </w:r>
    </w:p>
    <w:p>
      <w:pPr>
        <w:pStyle w:val="Heading1"/>
      </w:pPr>
      <w:r>
        <w:rPr>
          <w:rFonts w:ascii="Microsoft YaHei" w:hAnsi="Microsoft YaHei" w:eastAsia="Microsoft YaHei"/>
        </w:rPr>
        <w:t>4. SQP 求解策略</w:t>
      </w:r>
    </w:p>
    <w:p>
      <w:r>
        <w:rPr>
          <w:rFonts w:ascii="Microsoft YaHei" w:hAnsi="Microsoft YaHei" w:eastAsia="Microsoft YaHei"/>
          <w:b w:val="0"/>
          <w:sz w:val="21"/>
        </w:rPr>
        <w:t>每步分为两步：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① 粗网格筛选：在 [0,30] kW 上取 8 个点，固定 P_fc 仿真 horizon 步，找最优恒定值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② 序列精炼：以"70% 最优恒定 + 30% 负荷跟随"为初始猜测，SQP 逐点优化 N_p 个变量</w:t>
      </w:r>
    </w:p>
    <w:p>
      <w:r>
        <w:rPr>
          <w:rFonts w:ascii="Microsoft YaHei" w:hAnsi="Microsoft YaHei" w:eastAsia="Microsoft YaHei"/>
          <w:b w:val="0"/>
          <w:sz w:val="21"/>
        </w:rPr>
        <w:t>提供数值梯度（finite difference with eps=0.01）加速 SQP 收敛：</w:t>
      </w:r>
    </w:p>
    <w:p>
      <w:pPr>
        <w:ind w:left="283"/>
      </w:pPr>
      <w:r>
        <w:rPr>
          <w:rFonts w:ascii="Consolas" w:hAnsi="Consolas" w:eastAsia="Microsoft YaHei"/>
          <w:color w:val="323232"/>
          <w:sz w:val="17"/>
        </w:rPr>
        <w:t>def cost_with_grad(seq, *args):</w:t>
        <w:br/>
        <w:t xml:space="preserve">    f0 = cost_fn(seq)</w:t>
        <w:br/>
        <w:t xml:space="preserve">    for i in range(len(seq)):</w:t>
        <w:br/>
        <w:t xml:space="preserve">        seq[i] += eps</w:t>
        <w:br/>
        <w:t xml:space="preserve">        grad[i] = (cost_fn(seq) - f0) / eps</w:t>
        <w:br/>
        <w:t xml:space="preserve">        seq[i] -= eps</w:t>
        <w:br/>
        <w:t xml:space="preserve">    return f0, grad</w:t>
      </w:r>
    </w:p>
    <w:p>
      <w:r>
        <w:rPr>
          <w:rFonts w:ascii="Microsoft YaHei" w:hAnsi="Microsoft YaHei" w:eastAsia="Microsoft YaHei"/>
          <w:b w:val="0"/>
          <w:sz w:val="21"/>
        </w:rPr>
        <w:t>参数：maxiter=60, ftol=1e-10, eps=0.05, method=SLSQP</w:t>
      </w:r>
    </w:p>
    <w:p>
      <w:pPr>
        <w:pStyle w:val="Heading1"/>
      </w:pPr>
      <w:r>
        <w:rPr>
          <w:rFonts w:ascii="Microsoft YaHei" w:hAnsi="Microsoft YaHei" w:eastAsia="Microsoft YaHei"/>
        </w:rPr>
        <w:t>5. 实验结果（WLTC, N_p=8）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A-ECMS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SQP-ECMS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总氢耗 raw (kg)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0.2453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0.2402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↓ 2.1%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相对 DP 差距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+7.22%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+5.01%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更接近最优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SOC_end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略低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SOC 修正氢耗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修正后差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FC 平均效率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26.1%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24.7%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略低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平均每步耗时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0.1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269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慢 2500×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6. 与纯 SQP 1D / SEQ 的对比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raw H₂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SOC_end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速度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核心限制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SQP 1D (N_p=50)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0.2392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 ms/步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恒定 P_fc 假设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SQP SEQ (N_p=20)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0.2396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186 ms/步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重整时域抵消收益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SQP-ECMS (N_p=8)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0.2402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269 ms/步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终端 SOC 惩罚不够强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标准 A-ECMS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0.2453 kg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0.586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&lt;0.1 ms/步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无预测，贪婪决策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7. 代码结构</w:t>
      </w:r>
    </w:p>
    <w:p>
      <w:r>
        <w:rPr>
          <w:rFonts w:ascii="Microsoft YaHei" w:hAnsi="Microsoft YaHei" w:eastAsia="Microsoft YaHei"/>
          <w:b w:val="0"/>
          <w:sz w:val="21"/>
        </w:rPr>
        <w:t>核心函数：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cost_fn_ecms_seq() — 序列版 ECMS 代价函数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cost_with_grad() — 代价 + 数值梯度（供 SLSQP jac=True 使用）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sqp_ecms_sim() — 主仿真函数（参数：N_p, s_factor, beta_term, adaptive）</w:t>
      </w:r>
    </w:p>
    <w:p>
      <w:r>
        <w:rPr>
          <w:rFonts w:ascii="Microsoft YaHei" w:hAnsi="Microsoft YaHei" w:eastAsia="Microsoft YaHei"/>
          <w:b w:val="0"/>
          <w:sz w:val="21"/>
        </w:rPr>
        <w:t xml:space="preserve">  • run_std_ecms() — 标准 A-ECMS 封装（用于对比基准）</w:t>
      </w:r>
    </w:p>
    <w:p>
      <w:pPr>
        <w:pStyle w:val="Heading1"/>
      </w:pPr>
      <w:r>
        <w:rPr>
          <w:rFonts w:ascii="Microsoft YaHei" w:hAnsi="Microsoft YaHei" w:eastAsia="Microsoft YaHei"/>
        </w:rPr>
        <w:t>8. 用法</w:t>
      </w:r>
    </w:p>
    <w:p>
      <w:pPr>
        <w:ind w:left="283"/>
      </w:pPr>
      <w:r>
        <w:rPr>
          <w:rFonts w:ascii="Consolas" w:hAnsi="Consolas" w:eastAsia="Microsoft YaHei"/>
          <w:color w:val="323232"/>
          <w:sz w:val="17"/>
        </w:rPr>
        <w:t>python scripts/mpc_ems_sqp_ecms.py                          # WLTC</w:t>
        <w:br/>
        <w:t>python scripts/mpc_ems_sqp_ecms.py --cycle nedc             # NEDC</w:t>
        <w:br/>
        <w:t>python scripts/mpc_ems_sqp_ecms.py --all                    # 全部</w:t>
        <w:br/>
        <w:t>python scripts/mpc_ems_sqp_ecms.py --np 5                   # 更短时域</w:t>
        <w:br/>
        <w:t>python scripts/mpc_ems_sqp_ecms.py --beta 5000              # 更强的终端惩罚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