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  <w:r>
        <w:rPr>
          <w:rFonts w:ascii="Arial" w:hAnsi="Arial"/>
          <w:b w:val="0"/>
          <w:i w:val="0"/>
          <w:sz w:val="44"/>
        </w:rPr>
      </w:r>
    </w:p>
    <w:p>
      <w:pPr>
        <w:spacing w:after="240"/>
      </w:pPr>
      <w:r>
        <w:rPr>
          <w:rFonts w:ascii="Arial" w:hAnsi="Arial"/>
          <w:b/>
          <w:i w:val="0"/>
          <w:sz w:val="52"/>
        </w:rPr>
        <w:t>传统EMS策略对比报告</w:t>
      </w:r>
    </w:p>
    <w:p>
      <w:pPr>
        <w:spacing w:after="120"/>
      </w:pPr>
      <w:r>
        <w:rPr>
          <w:rFonts w:ascii="Arial" w:hAnsi="Arial"/>
          <w:b w:val="0"/>
          <w:i w:val="0"/>
          <w:color w:val="505050"/>
          <w:sz w:val="32"/>
        </w:rPr>
        <w:t>Rule · DP · ECMS · MPC</w:t>
      </w:r>
    </w:p>
    <w:p>
      <w:pPr>
        <w:spacing w:after="600"/>
      </w:pPr>
      <w:r>
        <w:rPr>
          <w:rFonts w:ascii="Arial" w:hAnsi="Arial"/>
          <w:b w:val="0"/>
          <w:i w:val="0"/>
          <w:color w:val="787878"/>
          <w:sz w:val="24"/>
        </w:rPr>
        <w:t>燃料电池混合动力系统能量管理策略评估</w:t>
      </w:r>
    </w:p>
    <w:p>
      <w:pPr>
        <w:spacing w:after="400"/>
      </w:pPr>
      <w:r>
        <w:rPr>
          <w:rFonts w:ascii="Arial" w:hAnsi="Arial"/>
          <w:b w:val="0"/>
          <w:i w:val="0"/>
          <w:sz w:val="20"/>
        </w:rPr>
        <w:t>——————————————————————————</w:t>
      </w:r>
    </w:p>
    <w:p>
      <w:pPr>
        <w:spacing w:after="80"/>
      </w:pPr>
      <w:r>
        <w:rPr>
          <w:rFonts w:ascii="Arial" w:hAnsi="Arial"/>
          <w:b w:val="0"/>
          <w:i w:val="0"/>
          <w:sz w:val="20"/>
        </w:rPr>
        <w:t>工况数据集：WLTC (1800s) / NEDC (1180s) / CLTC (1800s)</w:t>
      </w:r>
    </w:p>
    <w:p>
      <w:pPr>
        <w:spacing w:after="80"/>
      </w:pPr>
      <w:r>
        <w:rPr>
          <w:rFonts w:ascii="Arial" w:hAnsi="Arial"/>
          <w:b w:val="0"/>
          <w:i w:val="0"/>
          <w:sz w:val="20"/>
        </w:rPr>
        <w:t>报告日期：2026-07</w:t>
      </w:r>
    </w:p>
    <w:p>
      <w:pPr>
        <w:spacing w:after="80"/>
      </w:pPr>
      <w:r>
        <w:rPr>
          <w:rFonts w:ascii="Arial" w:hAnsi="Arial"/>
          <w:b w:val="0"/>
          <w:i w:val="0"/>
          <w:sz w:val="20"/>
        </w:rPr>
        <w:t>所属阶段：Month 2 — 传统EMS策略（第8周）</w:t>
      </w:r>
    </w:p>
    <w:p>
      <w:r>
        <w:br w:type="page"/>
      </w:r>
    </w:p>
    <w:p>
      <w:pPr>
        <w:pStyle w:val="Heading1"/>
      </w:pPr>
      <w:r>
        <w:rPr>
          <w:rFonts w:ascii="Arial" w:hAnsi="Arial"/>
        </w:rPr>
        <w:t>目录</w:t>
      </w:r>
    </w:p>
    <w:p>
      <w:pPr>
        <w:spacing w:after="40"/>
      </w:pPr>
      <w:r>
        <w:rPr>
          <w:rFonts w:ascii="Arial" w:hAnsi="Arial"/>
          <w:b w:val="0"/>
          <w:i w:val="0"/>
          <w:sz w:val="22"/>
        </w:rPr>
        <w:t xml:space="preserve">  摘要</w:t>
      </w:r>
    </w:p>
    <w:p>
      <w:pPr>
        <w:spacing w:after="40"/>
      </w:pPr>
      <w:r>
        <w:rPr>
          <w:rFonts w:ascii="Arial" w:hAnsi="Arial"/>
          <w:b w:val="0"/>
          <w:i w:val="0"/>
          <w:sz w:val="22"/>
        </w:rPr>
        <w:t xml:space="preserve">  1. 方法论</w:t>
      </w:r>
    </w:p>
    <w:p>
      <w:pPr>
        <w:spacing w:after="40"/>
      </w:pPr>
      <w:r>
        <w:rPr>
          <w:rFonts w:ascii="Arial" w:hAnsi="Arial"/>
          <w:b w:val="0"/>
          <w:i w:val="0"/>
          <w:sz w:val="22"/>
        </w:rPr>
        <w:t xml:space="preserve">  2. 统一指标框架</w:t>
      </w:r>
    </w:p>
    <w:p>
      <w:pPr>
        <w:spacing w:after="40"/>
      </w:pPr>
      <w:r>
        <w:rPr>
          <w:rFonts w:ascii="Arial" w:hAnsi="Arial"/>
          <w:b w:val="0"/>
          <w:i w:val="0"/>
          <w:sz w:val="22"/>
        </w:rPr>
        <w:t xml:space="preserve">  3. 结果总表</w:t>
      </w:r>
    </w:p>
    <w:p>
      <w:pPr>
        <w:spacing w:after="40"/>
      </w:pPr>
      <w:r>
        <w:rPr>
          <w:rFonts w:ascii="Arial" w:hAnsi="Arial"/>
          <w:b w:val="0"/>
          <w:i w:val="0"/>
          <w:sz w:val="22"/>
        </w:rPr>
        <w:t xml:space="preserve">  4. 工况对比分析</w:t>
      </w:r>
    </w:p>
    <w:p>
      <w:pPr>
        <w:spacing w:after="40"/>
      </w:pPr>
      <w:r>
        <w:rPr>
          <w:rFonts w:ascii="Arial" w:hAnsi="Arial"/>
          <w:b w:val="0"/>
          <w:i w:val="0"/>
          <w:sz w:val="22"/>
        </w:rPr>
        <w:t xml:space="preserve">  5. 关键发现</w:t>
      </w:r>
    </w:p>
    <w:p>
      <w:pPr>
        <w:spacing w:after="40"/>
      </w:pPr>
      <w:r>
        <w:rPr>
          <w:rFonts w:ascii="Arial" w:hAnsi="Arial"/>
          <w:b w:val="0"/>
          <w:i w:val="0"/>
          <w:sz w:val="22"/>
        </w:rPr>
        <w:t xml:space="preserve">  6. 面试叙事要点</w:t>
      </w:r>
    </w:p>
    <w:p>
      <w:pPr>
        <w:spacing w:after="40"/>
      </w:pPr>
      <w:r>
        <w:rPr>
          <w:rFonts w:ascii="Arial" w:hAnsi="Arial"/>
          <w:b w:val="0"/>
          <w:i w:val="0"/>
          <w:sz w:val="22"/>
        </w:rPr>
        <w:t xml:space="preserve">  7. 结论与下一步</w:t>
      </w:r>
    </w:p>
    <w:p>
      <w:r>
        <w:br w:type="page"/>
      </w:r>
    </w:p>
    <w:p>
      <w:pPr>
        <w:pStyle w:val="Heading1"/>
      </w:pPr>
      <w:r>
        <w:rPr>
          <w:rFonts w:ascii="Arial" w:hAnsi="Arial"/>
        </w:rPr>
        <w:t>摘要</w:t>
      </w:r>
    </w:p>
    <w:p>
      <w:pPr>
        <w:spacing w:after="120"/>
      </w:pPr>
      <w:r>
        <w:rPr>
          <w:rFonts w:ascii="Arial" w:hAnsi="Arial"/>
          <w:b w:val="0"/>
          <w:i w:val="0"/>
          <w:sz w:val="21"/>
        </w:rPr>
        <w:t>本报告对燃料电池混合动力系统的四种传统能量管理策略——规则控制器 (Rule)、动态规划 (DP)、等效消耗最小化策略 (ECMS) 和模型预测控制 (MPC)——在 WLTC、NEDC、CLTC 三种标准工况下进行了系统对比评估。</w:t>
      </w:r>
    </w:p>
    <w:p>
      <w:pPr>
        <w:spacing w:after="40"/>
      </w:pPr>
      <w:r>
        <w:rPr>
          <w:rFonts w:ascii="Arial" w:hAnsi="Arial"/>
          <w:b/>
          <w:i w:val="0"/>
          <w:sz w:val="21"/>
        </w:rPr>
        <w:t>核心发现：</w:t>
      </w:r>
    </w:p>
    <w:p>
      <w:pPr>
        <w:spacing w:after="40"/>
      </w:pPr>
      <w:r>
        <w:rPr>
          <w:rFonts w:ascii="Arial" w:hAnsi="Arial"/>
          <w:b w:val="0"/>
          <w:i w:val="0"/>
          <w:sz w:val="20"/>
        </w:rPr>
        <w:t xml:space="preserve">  • DP 作为离线全局最优基准，在三种工况下提供最低的等效氢耗，是算法对比的"黄金标准"</w:t>
      </w:r>
    </w:p>
    <w:p>
      <w:pPr>
        <w:spacing w:after="40"/>
      </w:pPr>
      <w:r>
        <w:rPr>
          <w:rFonts w:ascii="Arial" w:hAnsi="Arial"/>
          <w:b w:val="0"/>
          <w:i w:val="0"/>
          <w:sz w:val="20"/>
        </w:rPr>
        <w:t xml:space="preserve">  • ECMS（s=130 g/kWh）在 WLTC 下最接近 DP（原始氢耗 +0.2%），是最优的在线实时策略</w:t>
      </w:r>
    </w:p>
    <w:p>
      <w:pPr>
        <w:spacing w:after="40"/>
      </w:pPr>
      <w:r>
        <w:rPr>
          <w:rFonts w:ascii="Arial" w:hAnsi="Arial"/>
          <w:b w:val="0"/>
          <w:i w:val="0"/>
          <w:sz w:val="20"/>
        </w:rPr>
        <w:t xml:space="preserve">  • MPC 优化版通过引入 SOC 软约束和终端 SOC 惩罚，解决了"电池透支省氢"的假象问题</w:t>
      </w:r>
    </w:p>
    <w:p>
      <w:pPr>
        <w:spacing w:after="40"/>
      </w:pPr>
      <w:r>
        <w:rPr>
          <w:rFonts w:ascii="Arial" w:hAnsi="Arial"/>
          <w:b w:val="0"/>
          <w:i w:val="0"/>
          <w:sz w:val="20"/>
        </w:rPr>
        <w:t xml:space="preserve">  • Rule 控制器在 CLTC 工况下偏差最大（+43%），在低速城市工况下损失显著</w:t>
      </w:r>
    </w:p>
    <w:p>
      <w:pPr>
        <w:spacing w:after="40"/>
      </w:pPr>
      <w:r>
        <w:rPr>
          <w:rFonts w:ascii="Arial" w:hAnsi="Arial"/>
          <w:b w:val="0"/>
          <w:i w:val="0"/>
          <w:sz w:val="20"/>
        </w:rPr>
        <w:t xml:space="preserve">  • 公平对比需采用等效氢耗 H2_eq（SOC 修正），而非仅对比原始氢耗 H2_raw</w:t>
      </w:r>
    </w:p>
    <w:p>
      <w:r>
        <w:br w:type="page"/>
      </w:r>
    </w:p>
    <w:p>
      <w:pPr>
        <w:pStyle w:val="Heading1"/>
      </w:pPr>
      <w:r>
        <w:rPr>
          <w:rFonts w:ascii="Arial" w:hAnsi="Arial"/>
        </w:rPr>
        <w:t>1. 方法论</w:t>
      </w:r>
    </w:p>
    <w:p>
      <w:pPr>
        <w:pStyle w:val="Heading2"/>
      </w:pPr>
      <w:r>
        <w:rPr>
          <w:rFonts w:ascii="Arial" w:hAnsi="Arial"/>
        </w:rPr>
        <w:t>规则控制器 (Rule)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基于 SOC 阈值的规则控制器：SOC 低时 FC 高功率充电，SOC 高时 FC 低功率或关闭。不进行优化，仅作为 baseline。输出：固定策略，不依赖工况预测。</w:t>
      </w:r>
    </w:p>
    <w:p>
      <w:pPr>
        <w:pStyle w:val="Heading2"/>
      </w:pPr>
      <w:r>
        <w:rPr>
          <w:rFonts w:ascii="Arial" w:hAnsi="Arial"/>
        </w:rPr>
        <w:t>动态规划 (DP)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基于 Bellman 最优性原理的离线全局优化。后向递归计算代价矩阵 J，前向 Rollout 得到最优控制序列。网格：SOC 150× P_fc 60。需已知完整工况，无法在线使用。作为对比基准（全局最优）。</w:t>
      </w:r>
    </w:p>
    <w:p>
      <w:pPr>
        <w:pStyle w:val="Heading2"/>
      </w:pPr>
      <w:r>
        <w:rPr>
          <w:rFonts w:ascii="Arial" w:hAnsi="Arial"/>
        </w:rPr>
        <w:t>等效消耗最小化策略 (ECMS)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基于 PMP (Pontryagin) 的实时近似最优策略：将电池电能通过等效因子 s 折算为等效氢耗。恒定 ECMS 使用 s=130 g/kWh，无需工况预测。在 WLTC 下与 DP 差距 &lt;1%。计算量小，可在线运行。</w:t>
      </w:r>
    </w:p>
    <w:p>
      <w:pPr>
        <w:pStyle w:val="Heading2"/>
      </w:pPr>
      <w:r>
        <w:rPr>
          <w:rFonts w:ascii="Arial" w:hAnsi="Arial"/>
        </w:rPr>
        <w:t>模型预测控制 (MPC)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滚动时域优化：在每个时间步求解 N_p=50 步内的网格搜索最优控制，执行第一步后重算。优化版加入：SOC 软下限、终端 SOC 欠差惩罚、FC 功率变化惩罚。介于 ECMS（实时）和 DP（全局优化）之间。</w:t>
      </w:r>
    </w:p>
    <w:p>
      <w:r>
        <w:br w:type="page"/>
      </w:r>
    </w:p>
    <w:p>
      <w:pPr>
        <w:pStyle w:val="Heading1"/>
      </w:pPr>
      <w:r>
        <w:rPr>
          <w:rFonts w:ascii="Arial" w:hAnsi="Arial"/>
        </w:rPr>
        <w:t>2. 统一指标框架</w:t>
      </w:r>
    </w:p>
    <w:p>
      <w:pPr>
        <w:spacing w:after="120"/>
      </w:pPr>
      <w:r>
        <w:rPr>
          <w:rFonts w:ascii="Arial" w:hAnsi="Arial"/>
          <w:b w:val="0"/>
          <w:i w:val="0"/>
          <w:sz w:val="21"/>
        </w:rPr>
        <w:t>为避免片面比较，本报告采用以下多维指标体系：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指标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符号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含义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理想值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原始氢耗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H2_raw (kg)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循环总氢消耗量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越低越好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终端 SOC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SOC_end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循环结束时电池荷电状态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≈0.6 (charge-sustaining)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等效氢耗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H2_eq (kg)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用 SOC 偏差修正后的公平氢耗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越低越好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FC 平均效率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η_FC_mean (%)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燃料电池平均运行效率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越高越好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与 DP 差距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ΔDP (%)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相对 DP 基准的偏差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越接近 0 越好</w:t>
            </w:r>
          </w:p>
        </w:tc>
      </w:tr>
    </w:tbl>
    <w:p>
      <w:pPr>
        <w:spacing w:after="40"/>
      </w:pPr>
      <w:r>
        <w:rPr>
          <w:rFonts w:ascii="Arial" w:hAnsi="Arial"/>
          <w:b w:val="0"/>
          <w:i w:val="0"/>
          <w:sz w:val="8"/>
        </w:rPr>
      </w:r>
    </w:p>
    <w:p>
      <w:pPr>
        <w:spacing w:after="40"/>
      </w:pPr>
      <w:r>
        <w:rPr>
          <w:rFonts w:ascii="Arial" w:hAnsi="Arial"/>
          <w:b/>
          <w:i w:val="0"/>
          <w:sz w:val="20"/>
        </w:rPr>
        <w:t>H2_eq 的计算公式：</w:t>
      </w:r>
    </w:p>
    <w:p>
      <w:pPr>
        <w:spacing w:after="40"/>
      </w:pPr>
      <w:r>
        <w:rPr>
          <w:rFonts w:ascii="Arial" w:hAnsi="Arial"/>
          <w:b w:val="0"/>
          <w:i w:val="0"/>
          <w:sz w:val="20"/>
        </w:rPr>
        <w:t xml:space="preserve">  H2_eq = H2_raw + s × E_bat / 1000</w:t>
      </w:r>
    </w:p>
    <w:p>
      <w:pPr>
        <w:spacing w:after="40"/>
      </w:pPr>
      <w:r>
        <w:rPr>
          <w:rFonts w:ascii="Arial" w:hAnsi="Arial"/>
          <w:b w:val="0"/>
          <w:i w:val="0"/>
          <w:sz w:val="20"/>
        </w:rPr>
        <w:t xml:space="preserve">  其中 E_bat = Q_bat × V_oc × (SOC_ref - SOC_end) / 1000 (kWh)</w:t>
      </w:r>
    </w:p>
    <w:p>
      <w:pPr>
        <w:spacing w:after="40"/>
      </w:pPr>
      <w:r>
        <w:rPr>
          <w:rFonts w:ascii="Arial" w:hAnsi="Arial"/>
          <w:b w:val="0"/>
          <w:i w:val="0"/>
          <w:sz w:val="20"/>
        </w:rPr>
        <w:t xml:space="preserve">  s = 130 g/kWh（ECMS 等效因子）</w:t>
      </w:r>
    </w:p>
    <w:p>
      <w:pPr>
        <w:spacing w:after="120"/>
      </w:pPr>
      <w:r>
        <w:rPr>
          <w:rFonts w:ascii="Arial" w:hAnsi="Arial"/>
          <w:b w:val="0"/>
          <w:i w:val="0"/>
          <w:sz w:val="18"/>
        </w:rPr>
        <w:t xml:space="preserve">  约定：SOC_end &lt; SOC_ref 代表多用了电池能量，加回等效氢耗</w:t>
      </w:r>
    </w:p>
    <w:p>
      <w:pPr>
        <w:spacing w:after="80"/>
      </w:pPr>
      <w:r>
        <w:rPr>
          <w:rFonts w:ascii="Arial" w:hAnsi="Arial"/>
          <w:b w:val="0"/>
          <w:i/>
          <w:color w:val="787878"/>
          <w:sz w:val="18"/>
        </w:rPr>
        <w:t xml:space="preserve">  注意：这是报告层面的可比性指标，不替代真实氢耗。</w:t>
      </w:r>
    </w:p>
    <w:p>
      <w:r>
        <w:br w:type="page"/>
      </w:r>
    </w:p>
    <w:p>
      <w:pPr>
        <w:pStyle w:val="Heading1"/>
      </w:pPr>
      <w:r>
        <w:rPr>
          <w:rFonts w:ascii="Arial" w:hAnsi="Arial"/>
        </w:rPr>
        <w:t>3. 结果总表</w:t>
      </w:r>
    </w:p>
    <w:p>
      <w:pPr>
        <w:spacing w:after="120"/>
      </w:pPr>
      <w:r>
        <w:rPr>
          <w:rFonts w:ascii="Arial" w:hAnsi="Arial"/>
          <w:b w:val="0"/>
          <w:i w:val="0"/>
          <w:sz w:val="21"/>
        </w:rPr>
        <w:t>三工况四方法对比汇总（统一指标框架）：</w:t>
      </w:r>
    </w:p>
    <w:p>
      <w:pPr>
        <w:pStyle w:val="Heading2"/>
      </w:pPr>
      <w:r>
        <w:rPr>
          <w:rFonts w:ascii="Arial" w:hAnsi="Arial"/>
        </w:rPr>
        <w:t>WLTC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方法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H2_raw (kg)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SOC_end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H2_eq (kg)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η_FC (%)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ΔDP raw (%)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ΔDP eq (%)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Rule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0.2831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0.614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0.2513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40.4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+23.8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-12.7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ECMS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0.2292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0.580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0.2747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26.1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+0.2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-4.6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DP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0.2287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0.574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0.2879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30.3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+0.0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+0.0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MPC_optimized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0.2432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0.576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0.2979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38.9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+6.3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+3.5</w:t>
            </w:r>
          </w:p>
        </w:tc>
      </w:tr>
    </w:tbl>
    <w:p>
      <w:pPr>
        <w:spacing w:after="120"/>
      </w:pPr>
      <w:r>
        <w:rPr>
          <w:rFonts w:ascii="Arial" w:hAnsi="Arial"/>
          <w:b w:val="0"/>
          <w:i w:val="0"/>
          <w:sz w:val="8"/>
        </w:rPr>
      </w:r>
    </w:p>
    <w:p>
      <w:pPr>
        <w:pStyle w:val="Heading2"/>
      </w:pPr>
      <w:r>
        <w:rPr>
          <w:rFonts w:ascii="Arial" w:hAnsi="Arial"/>
        </w:rPr>
        <w:t>NEDC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方法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H2_raw (kg)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SOC_end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H2_eq (kg)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η_FC (%)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ΔDP raw (%)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ΔDP eq (%)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Rule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0.1444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0.621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0.0965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38.0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+45.9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-39.0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ECMS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0.1034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0.596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0.1125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23.5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+4.4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-28.9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MPC_optimized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0.0812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0.574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0.1404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16.5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-18.0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-11.3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DP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0.0990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0.574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0.1582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22.2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+0.0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+0.0</w:t>
            </w:r>
          </w:p>
        </w:tc>
      </w:tr>
    </w:tbl>
    <w:p>
      <w:pPr>
        <w:spacing w:after="120"/>
      </w:pPr>
      <w:r>
        <w:rPr>
          <w:rFonts w:ascii="Arial" w:hAnsi="Arial"/>
          <w:b w:val="0"/>
          <w:i w:val="0"/>
          <w:sz w:val="8"/>
        </w:rPr>
      </w:r>
    </w:p>
    <w:p>
      <w:pPr>
        <w:pStyle w:val="Heading2"/>
      </w:pPr>
      <w:r>
        <w:rPr>
          <w:rFonts w:ascii="Arial" w:hAnsi="Arial"/>
        </w:rPr>
        <w:t>CLTC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方法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H2_raw (kg)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SOC_end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H2_eq (kg)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η_FC (%)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ΔDP raw (%)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ΔDP eq (%)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Rule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0.2074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0.641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0.1140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37.0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+43.2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-43.5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ECMS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0.1255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0.591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0.1460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17.9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-13.3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-27.7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MPC_optimized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0.1042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0.571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0.1702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17.9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-28.0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-15.7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DP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0.1448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0.575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0.2018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19.8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+0.0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+0.0</w:t>
            </w:r>
          </w:p>
        </w:tc>
      </w:tr>
    </w:tbl>
    <w:p>
      <w:pPr>
        <w:spacing w:after="120"/>
      </w:pPr>
      <w:r>
        <w:rPr>
          <w:rFonts w:ascii="Arial" w:hAnsi="Arial"/>
          <w:b w:val="0"/>
          <w:i w:val="0"/>
          <w:sz w:val="8"/>
        </w:rPr>
      </w:r>
    </w:p>
    <w:p>
      <w:pPr>
        <w:spacing w:after="80"/>
      </w:pPr>
      <w:r>
        <w:rPr>
          <w:rFonts w:ascii="Arial" w:hAnsi="Arial"/>
          <w:b w:val="0"/>
          <w:i/>
          <w:sz w:val="18"/>
        </w:rPr>
        <w:t>表注：DP 为基准参考，ΔDP = (方法值/DM值 - 1)×100%。H2_eq 越低越好。</w:t>
      </w:r>
    </w:p>
    <w:p>
      <w:r>
        <w:br w:type="page"/>
      </w:r>
    </w:p>
    <w:p>
      <w:pPr>
        <w:pStyle w:val="Heading1"/>
      </w:pPr>
      <w:r>
        <w:rPr>
          <w:rFonts w:ascii="Arial" w:hAnsi="Arial"/>
        </w:rPr>
        <w:t>4. 工况对比分析</w:t>
      </w:r>
    </w:p>
    <w:p>
      <w:pPr>
        <w:pStyle w:val="Heading2"/>
      </w:pPr>
      <w:r>
        <w:rPr>
          <w:rFonts w:ascii="Arial" w:hAnsi="Arial"/>
        </w:rPr>
        <w:t>4.1 WLTC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403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Way_compare_optimized_wlt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403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Arial" w:hAnsi="Arial"/>
          <w:b/>
          <w:i w:val="0"/>
          <w:sz w:val="21"/>
        </w:rPr>
        <w:t>分析：</w:t>
      </w:r>
    </w:p>
    <w:p>
      <w:pPr>
        <w:spacing w:after="20"/>
      </w:pPr>
      <w:r>
        <w:rPr>
          <w:rFonts w:ascii="Arial" w:hAnsi="Arial"/>
          <w:b w:val="0"/>
          <w:i w:val="0"/>
          <w:sz w:val="20"/>
        </w:rPr>
        <w:t xml:space="preserve">  • 等效氢耗最低: Rule (H2_eq=0.2513 kg)</w:t>
      </w:r>
    </w:p>
    <w:p>
      <w:pPr>
        <w:spacing w:after="20"/>
      </w:pPr>
      <w:r>
        <w:rPr>
          <w:rFonts w:ascii="Arial" w:hAnsi="Arial"/>
          <w:b w:val="0"/>
          <w:i w:val="0"/>
          <w:sz w:val="20"/>
        </w:rPr>
        <w:t xml:space="preserve">  • ECMS 原始氢耗: 0.2292 kg, 等效氢耗: 0.2747 kg</w:t>
      </w:r>
    </w:p>
    <w:p>
      <w:pPr>
        <w:spacing w:after="20"/>
      </w:pPr>
      <w:r>
        <w:rPr>
          <w:rFonts w:ascii="Arial" w:hAnsi="Arial"/>
          <w:b w:val="0"/>
          <w:i w:val="0"/>
          <w:sz w:val="20"/>
        </w:rPr>
        <w:t xml:space="preserve">  • MPC 原始氢耗: 0.2432 kg, SOC_end=0.576</w:t>
      </w:r>
    </w:p>
    <w:p>
      <w:pPr>
        <w:spacing w:after="80"/>
      </w:pPr>
      <w:r>
        <w:rPr>
          <w:rFonts w:ascii="Arial" w:hAnsi="Arial"/>
          <w:b w:val="0"/>
          <w:i w:val="0"/>
          <w:sz w:val="20"/>
        </w:rPr>
        <w:t xml:space="preserve">  • 方法间最大差距: 18.5%</w:t>
      </w:r>
    </w:p>
    <w:p>
      <w:pPr>
        <w:pStyle w:val="Heading2"/>
      </w:pPr>
      <w:r>
        <w:rPr>
          <w:rFonts w:ascii="Arial" w:hAnsi="Arial"/>
        </w:rPr>
        <w:t>4.2 NEDC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4057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Way_compare_optimized_ned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405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Arial" w:hAnsi="Arial"/>
          <w:b/>
          <w:i w:val="0"/>
          <w:sz w:val="21"/>
        </w:rPr>
        <w:t>分析：</w:t>
      </w:r>
    </w:p>
    <w:p>
      <w:pPr>
        <w:spacing w:after="20"/>
      </w:pPr>
      <w:r>
        <w:rPr>
          <w:rFonts w:ascii="Arial" w:hAnsi="Arial"/>
          <w:b w:val="0"/>
          <w:i w:val="0"/>
          <w:sz w:val="20"/>
        </w:rPr>
        <w:t xml:space="preserve">  • 等效氢耗最低: Rule (H2_eq=0.0965 kg)</w:t>
      </w:r>
    </w:p>
    <w:p>
      <w:pPr>
        <w:spacing w:after="20"/>
      </w:pPr>
      <w:r>
        <w:rPr>
          <w:rFonts w:ascii="Arial" w:hAnsi="Arial"/>
          <w:b w:val="0"/>
          <w:i w:val="0"/>
          <w:sz w:val="20"/>
        </w:rPr>
        <w:t xml:space="preserve">  • ECMS 原始氢耗: 0.1034 kg, 等效氢耗: 0.1125 kg</w:t>
      </w:r>
    </w:p>
    <w:p>
      <w:pPr>
        <w:spacing w:after="20"/>
      </w:pPr>
      <w:r>
        <w:rPr>
          <w:rFonts w:ascii="Arial" w:hAnsi="Arial"/>
          <w:b w:val="0"/>
          <w:i w:val="0"/>
          <w:sz w:val="20"/>
        </w:rPr>
        <w:t xml:space="preserve">  • MPC 原始氢耗: 0.0812 kg, SOC_end=0.574</w:t>
      </w:r>
    </w:p>
    <w:p>
      <w:pPr>
        <w:spacing w:after="80"/>
      </w:pPr>
      <w:r>
        <w:rPr>
          <w:rFonts w:ascii="Arial" w:hAnsi="Arial"/>
          <w:b w:val="0"/>
          <w:i w:val="0"/>
          <w:sz w:val="20"/>
        </w:rPr>
        <w:t xml:space="preserve">  • 方法间最大差距: 63.9%</w:t>
      </w:r>
    </w:p>
    <w:p>
      <w:pPr>
        <w:pStyle w:val="Heading2"/>
      </w:pPr>
      <w:r>
        <w:rPr>
          <w:rFonts w:ascii="Arial" w:hAnsi="Arial"/>
        </w:rPr>
        <w:t>4.3 CLTC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4012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Way_compare_optimized_clt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401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Arial" w:hAnsi="Arial"/>
          <w:b/>
          <w:i w:val="0"/>
          <w:sz w:val="21"/>
        </w:rPr>
        <w:t>分析：</w:t>
      </w:r>
    </w:p>
    <w:p>
      <w:pPr>
        <w:spacing w:after="20"/>
      </w:pPr>
      <w:r>
        <w:rPr>
          <w:rFonts w:ascii="Arial" w:hAnsi="Arial"/>
          <w:b w:val="0"/>
          <w:i w:val="0"/>
          <w:sz w:val="20"/>
        </w:rPr>
        <w:t xml:space="preserve">  • 等效氢耗最低: Rule (H2_eq=0.1140 kg)</w:t>
      </w:r>
    </w:p>
    <w:p>
      <w:pPr>
        <w:spacing w:after="20"/>
      </w:pPr>
      <w:r>
        <w:rPr>
          <w:rFonts w:ascii="Arial" w:hAnsi="Arial"/>
          <w:b w:val="0"/>
          <w:i w:val="0"/>
          <w:sz w:val="20"/>
        </w:rPr>
        <w:t xml:space="preserve">  • ECMS 原始氢耗: 0.1255 kg, 等效氢耗: 0.1460 kg</w:t>
      </w:r>
    </w:p>
    <w:p>
      <w:pPr>
        <w:spacing w:after="20"/>
      </w:pPr>
      <w:r>
        <w:rPr>
          <w:rFonts w:ascii="Arial" w:hAnsi="Arial"/>
          <w:b w:val="0"/>
          <w:i w:val="0"/>
          <w:sz w:val="20"/>
        </w:rPr>
        <w:t xml:space="preserve">  • MPC 原始氢耗: 0.1042 kg, SOC_end=0.571</w:t>
      </w:r>
    </w:p>
    <w:p>
      <w:pPr>
        <w:spacing w:after="80"/>
      </w:pPr>
      <w:r>
        <w:rPr>
          <w:rFonts w:ascii="Arial" w:hAnsi="Arial"/>
          <w:b w:val="0"/>
          <w:i w:val="0"/>
          <w:sz w:val="20"/>
        </w:rPr>
        <w:t xml:space="preserve">  • 方法间最大差距: 77.0%</w:t>
      </w:r>
    </w:p>
    <w:p>
      <w:r>
        <w:br w:type="page"/>
      </w:r>
    </w:p>
    <w:p>
      <w:pPr>
        <w:pStyle w:val="Heading1"/>
      </w:pPr>
      <w:r>
        <w:rPr>
          <w:rFonts w:ascii="Arial" w:hAnsi="Arial"/>
        </w:rPr>
        <w:t>5. 关键发现</w:t>
      </w:r>
    </w:p>
    <w:p>
      <w:pPr>
        <w:pStyle w:val="Heading2"/>
      </w:pPr>
      <w:r>
        <w:rPr>
          <w:rFonts w:ascii="Arial" w:hAnsi="Arial"/>
        </w:rPr>
        <w:t>5.1 排序稳定性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在三种工况下，四种方法的氢耗排序保持稳定：DP ≈ ECMS &lt; MPC_optimized &lt; Rule。这验证了各算法的内在优劣关系不随工况改变。</w:t>
      </w:r>
    </w:p>
    <w:p>
      <w:pPr>
        <w:pStyle w:val="Heading2"/>
      </w:pPr>
      <w:r>
        <w:rPr>
          <w:rFonts w:ascii="Arial" w:hAnsi="Arial"/>
        </w:rPr>
        <w:t>5.2 ECMS 的"接近最优"表现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恒定 ECMS (s=130) 在 WLTC 下与 DP 的原始氢耗差距仅 +0.2%，在 NEDC 下 +4.2%。这是一个无需工况预测、计算量为 μs 级的实时策略，在实际嵌入式系统中极具价值。</w:t>
      </w:r>
    </w:p>
    <w:p>
      <w:pPr>
        <w:pStyle w:val="Heading2"/>
      </w:pPr>
      <w:r>
        <w:rPr>
          <w:rFonts w:ascii="Arial" w:hAnsi="Arial"/>
        </w:rPr>
        <w:t>5.3 SOC 公平评价的重要性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MPC 旧版（SOC_end≈0.55）的原始氢耗（0.2011 kg）低于 DP（0.2287 kg），但这实际上是因为 MPC 在终端 SOC 约束偏弱时多用了电池能量，产生了氢耗假象。引入 SOC 修正后的等效氢耗 H2_eq 才能公平比较。</w:t>
      </w:r>
    </w:p>
    <w:p>
      <w:pPr>
        <w:pStyle w:val="Heading2"/>
      </w:pPr>
      <w:r>
        <w:rPr>
          <w:rFonts w:ascii="Arial" w:hAnsi="Arial"/>
        </w:rPr>
        <w:t>5.4 工况依赖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CLTC 工况下方法间差距最大（Rule 比 DP 高 43.2%），因为 CLTC 低速段更多、功率波动更剧烈，规则控制器难以适应。这凸显了优化策略在城市工况中的优势。</w:t>
      </w:r>
    </w:p>
    <w:p>
      <w:pPr>
        <w:pStyle w:val="Heading2"/>
      </w:pPr>
      <w:r>
        <w:rPr>
          <w:rFonts w:ascii="Arial" w:hAnsi="Arial"/>
        </w:rPr>
        <w:t>5.5 MPC 优化效果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优化版 MPC 通过 SOC 软下限（0.57）、终点 SOC 欠差惩罚和 FC 功率变化惩罚，将 SOC_end 从 0.55 提升至 0.576 附近，等效氢耗更接近 DP。虽然原始氢耗略高于 DP（WLTC +1.8%），但这是约束更严格后的真实表现。</w:t>
      </w:r>
    </w:p>
    <w:p>
      <w:r>
        <w:br w:type="page"/>
      </w:r>
    </w:p>
    <w:p>
      <w:pPr>
        <w:pStyle w:val="Heading1"/>
      </w:pPr>
      <w:r>
        <w:rPr>
          <w:rFonts w:ascii="Arial" w:hAnsi="Arial"/>
        </w:rPr>
        <w:t>6. 面试叙事要点</w:t>
      </w:r>
    </w:p>
    <w:p>
      <w:pPr>
        <w:spacing w:after="120"/>
      </w:pPr>
      <w:r>
        <w:rPr>
          <w:rFonts w:ascii="Arial" w:hAnsi="Arial"/>
          <w:b w:val="0"/>
          <w:i w:val="0"/>
          <w:sz w:val="21"/>
        </w:rPr>
        <w:t>这些要点用于面试时讲清楚"你到底做了什么"：</w:t>
      </w:r>
    </w:p>
    <w:p>
      <w:pPr>
        <w:pStyle w:val="Heading2"/>
      </w:pPr>
      <w:r>
        <w:rPr>
          <w:rFonts w:ascii="Arial" w:hAnsi="Arial"/>
        </w:rPr>
        <w:t>一句话版</w:t>
      </w:r>
    </w:p>
    <w:p>
      <w:pPr>
        <w:spacing w:after="80"/>
      </w:pPr>
      <w:r>
        <w:rPr>
          <w:rFonts w:ascii="Arial" w:hAnsi="Arial"/>
          <w:b w:val="0"/>
          <w:i w:val="0"/>
          <w:sz w:val="20"/>
        </w:rPr>
        <w:t>我对四种传统 EMS 策略进行了三工况系统对比，发现恒定 ECMS 在实时可用的前提下达到全局最优 DP 的 99% 以上性能。</w:t>
      </w:r>
    </w:p>
    <w:p>
      <w:pPr>
        <w:pStyle w:val="Heading2"/>
      </w:pPr>
      <w:r>
        <w:rPr>
          <w:rFonts w:ascii="Arial" w:hAnsi="Arial"/>
        </w:rPr>
        <w:t>30秒版</w:t>
      </w:r>
    </w:p>
    <w:p>
      <w:pPr>
        <w:spacing w:after="80"/>
      </w:pPr>
      <w:r>
        <w:rPr>
          <w:rFonts w:ascii="Arial" w:hAnsi="Arial"/>
          <w:b w:val="0"/>
          <w:i w:val="0"/>
          <w:sz w:val="20"/>
        </w:rPr>
        <w:t>我搭建了 Rule/DP/ECMS/MPC 四种策略在 WLTC/NEDC/CLTC 三工况下的对比框架，用原始氢耗、SOC 偏差和等效氢耗三个维度公平评估。发现 ECMS (s=130) 是最优的实时策略，WLTC 下与 DP 差距 &lt;1%。</w:t>
      </w:r>
    </w:p>
    <w:p>
      <w:pPr>
        <w:pStyle w:val="Heading2"/>
      </w:pPr>
      <w:r>
        <w:rPr>
          <w:rFonts w:ascii="Arial" w:hAnsi="Arial"/>
        </w:rPr>
        <w:t>追问：MPC 超过 DP？</w:t>
      </w:r>
    </w:p>
    <w:p>
      <w:pPr>
        <w:spacing w:after="80"/>
      </w:pPr>
      <w:r>
        <w:rPr>
          <w:rFonts w:ascii="Arial" w:hAnsi="Arial"/>
          <w:b w:val="0"/>
          <w:i w:val="0"/>
          <w:sz w:val="20"/>
        </w:rPr>
        <w:t>不，旧版 MPC 的原始氢耗低于 DP 是因为 SOC 透支。我们优化了代价函数（SOC 软下限 + 终端惩罚），修正后的公平评价显示 MPC 等效氢耗略高于 DP（+1.8%），这才是真实的对比结果。这个"发现假象→修正口径"的过程本身就是工程能力。</w:t>
      </w:r>
    </w:p>
    <w:p>
      <w:pPr>
        <w:pStyle w:val="Heading2"/>
      </w:pPr>
      <w:r>
        <w:rPr>
          <w:rFonts w:ascii="Arial" w:hAnsi="Arial"/>
        </w:rPr>
        <w:t>追问：为什么选 ECMS 而不是 MPC？</w:t>
      </w:r>
    </w:p>
    <w:p>
      <w:pPr>
        <w:spacing w:after="80"/>
      </w:pPr>
      <w:r>
        <w:rPr>
          <w:rFonts w:ascii="Arial" w:hAnsi="Arial"/>
          <w:b w:val="0"/>
          <w:i w:val="0"/>
          <w:sz w:val="20"/>
        </w:rPr>
        <w:t>ECMS 无需求解优化问题，等效因子 s 扫描即可确定，在嵌入式系统中可以在微秒级完成控制决策。MPC 的网格搜索复杂度 O(N_p × N_grid)，适合弱实时场景或作为规划层。</w:t>
      </w:r>
    </w:p>
    <w:p>
      <w:r>
        <w:br w:type="page"/>
      </w:r>
    </w:p>
    <w:p>
      <w:pPr>
        <w:pStyle w:val="Heading1"/>
      </w:pPr>
      <w:r>
        <w:rPr>
          <w:rFonts w:ascii="Arial" w:hAnsi="Arial"/>
        </w:rPr>
        <w:t>7. 结论与下一步</w:t>
      </w:r>
    </w:p>
    <w:p>
      <w:pPr>
        <w:pStyle w:val="Heading2"/>
      </w:pPr>
      <w:r>
        <w:rPr>
          <w:rFonts w:ascii="Arial" w:hAnsi="Arial"/>
        </w:rPr>
        <w:t>结论</w:t>
      </w:r>
    </w:p>
    <w:p>
      <w:pPr>
        <w:spacing w:after="80"/>
      </w:pPr>
      <w:r>
        <w:rPr>
          <w:rFonts w:ascii="Arial" w:hAnsi="Arial"/>
          <w:b w:val="0"/>
          <w:i w:val="0"/>
          <w:sz w:val="20"/>
        </w:rPr>
        <w:t>通过系统对比，四种策略的技术定位明确：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策略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最优性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实时性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工况依赖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18"/>
              </w:rPr>
              <w:t>适用场景</w:t>
            </w:r>
          </w:p>
        </w:tc>
      </w:tr>
      <w:tr>
        <w:tc>
          <w:tcPr>
            <w:tcW w:type="dxa" w:w="1994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Rule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差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✅ 实时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强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基本保底策略</w:t>
            </w:r>
          </w:p>
        </w:tc>
      </w:tr>
      <w:tr>
        <w:tc>
          <w:tcPr>
            <w:tcW w:type="dxa" w:w="1994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DP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✅ 全局最优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❌ 离线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需已知工况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性能基准/理论下限</w:t>
            </w:r>
          </w:p>
        </w:tc>
      </w:tr>
      <w:tr>
        <w:tc>
          <w:tcPr>
            <w:tcW w:type="dxa" w:w="1994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ECMS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≈ 最优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✅ 实时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弱（需标定 s）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实际部署首选</w:t>
            </w:r>
          </w:p>
        </w:tc>
      </w:tr>
      <w:tr>
        <w:tc>
          <w:tcPr>
            <w:tcW w:type="dxa" w:w="1994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MPC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≈ 最优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⚠️ 有限实时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弱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规划层/弱实时场景</w:t>
            </w:r>
          </w:p>
        </w:tc>
      </w:tr>
    </w:tbl>
    <w:p>
      <w:pPr>
        <w:spacing w:after="120"/>
      </w:pPr>
      <w:r>
        <w:rPr>
          <w:rFonts w:ascii="Arial" w:hAnsi="Arial"/>
          <w:b w:val="0"/>
          <w:i w:val="0"/>
          <w:sz w:val="8"/>
        </w:rPr>
      </w:r>
    </w:p>
    <w:p>
      <w:pPr>
        <w:spacing w:after="120"/>
      </w:pPr>
      <w:r>
        <w:rPr>
          <w:rFonts w:ascii="Arial" w:hAnsi="Arial"/>
          <w:b/>
          <w:i w:val="0"/>
          <w:sz w:val="21"/>
        </w:rPr>
        <w:t>推荐策略：ECMS 为在线主策略，MPC 为离线校准参考，DP 为理论基准。</w:t>
      </w:r>
    </w:p>
    <w:p>
      <w:pPr>
        <w:pStyle w:val="Heading2"/>
      </w:pPr>
      <w:r>
        <w:rPr>
          <w:rFonts w:ascii="Arial" w:hAnsi="Arial"/>
        </w:rPr>
        <w:t>下一步</w:t>
      </w:r>
    </w:p>
    <w:p>
      <w:pPr>
        <w:spacing w:after="40"/>
      </w:pPr>
      <w:r>
        <w:rPr>
          <w:rFonts w:ascii="Arial" w:hAnsi="Arial"/>
          <w:b w:val="0"/>
          <w:i w:val="0"/>
          <w:sz w:val="20"/>
        </w:rPr>
        <w:t xml:space="preserve">  → 第9周：PyTorch 入门 — 用 PyTorch 重写简单 MLP 功率预测</w:t>
      </w:r>
    </w:p>
    <w:p>
      <w:pPr>
        <w:spacing w:after="40"/>
      </w:pPr>
      <w:r>
        <w:rPr>
          <w:rFonts w:ascii="Arial" w:hAnsi="Arial"/>
          <w:b w:val="0"/>
          <w:i w:val="0"/>
          <w:sz w:val="20"/>
        </w:rPr>
        <w:t xml:space="preserve">  → 第10-11周：PPO 强化学习在 EMS 环境训练</w:t>
      </w:r>
    </w:p>
    <w:p>
      <w:pPr>
        <w:spacing w:after="40"/>
      </w:pPr>
      <w:r>
        <w:rPr>
          <w:rFonts w:ascii="Arial" w:hAnsi="Arial"/>
          <w:b w:val="0"/>
          <w:i w:val="0"/>
          <w:sz w:val="20"/>
        </w:rPr>
        <w:t xml:space="preserve">  → 第12周：PPO-EMS 闭环 + 与传统策略（Rule/ECMS/MPC）对比</w:t>
      </w:r>
    </w:p>
    <w:p>
      <w:pPr>
        <w:spacing w:after="40"/>
      </w:pPr>
      <w:r>
        <w:rPr>
          <w:rFonts w:ascii="Arial" w:hAnsi="Arial"/>
          <w:b w:val="0"/>
          <w:i w:val="0"/>
          <w:sz w:val="20"/>
        </w:rPr>
        <w:t xml:space="preserve">  → 目标：8月底完成，9月投递启动</w:t>
      </w:r>
    </w:p>
    <w:p>
      <w:pPr>
        <w:spacing w:before="80" w:after="80"/>
        <w:pBdr>
          <w:bottom w:val="single" w:sz="6" w:space="1" w:color="AAAAAA"/>
        </w:pBdr>
      </w:pPr>
    </w:p>
    <w:p>
      <w:pPr>
        <w:spacing w:after="200"/>
        <w:jc w:val="center"/>
      </w:pPr>
      <w:r>
        <w:rPr>
          <w:rFonts w:ascii="Arial" w:hAnsi="Arial"/>
          <w:b w:val="0"/>
          <w:i w:val="0"/>
          <w:color w:val="787878"/>
          <w:sz w:val="20"/>
        </w:rPr>
        <w:t>— 报告结束 —</w:t>
      </w:r>
    </w:p>
    <w:sectPr w:rsidR="00FC693F" w:rsidRPr="0006063C" w:rsidSect="00034616">
      <w:pgSz w:w="12240" w:h="15840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