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多堆燃料电池船舶动力系统</w:t>
        <w:br/>
        <w:t>与深度学习结合研究方案</w:t>
      </w:r>
    </w:p>
    <w:p>
      <w:pPr>
        <w:jc w:val="center"/>
      </w:pPr>
      <w:r>
        <w:rPr>
          <w:color w:val="4472C4"/>
          <w:sz w:val="28"/>
        </w:rPr>
        <w:t>LLM-as-Student: DRL 教师 → LLM 学生知识蒸馏框架</w:t>
      </w:r>
    </w:p>
    <w:p/>
    <w:p/>
    <w:p/>
    <w:p>
      <w:pPr>
        <w:jc w:val="center"/>
      </w:pPr>
      <w:r>
        <w:rPr>
          <w:sz w:val="24"/>
        </w:rPr>
        <w:t>目标期刊：eTransportation / Energy Conversion and Management</w:t>
        <w:br/>
        <w:t>时间线：2026-07-11 → 2026-10-03（12 周）</w:t>
      </w:r>
    </w:p>
    <w:p>
      <w:r>
        <w:br w:type="page"/>
      </w:r>
    </w:p>
    <w:p>
      <w:pPr>
        <w:pStyle w:val="Heading1"/>
      </w:pPr>
      <w:r>
        <w:t>一、研究背景与动机</w:t>
      </w:r>
    </w:p>
    <w:p>
      <w:pPr>
        <w:pStyle w:val="Heading2"/>
      </w:pPr>
      <w:r>
        <w:t>1.1 船舶燃料电池的独特需求</w:t>
      </w:r>
    </w:p>
    <w:p>
      <w:r>
        <w:t>与传统车载燃料电池不同，船舶燃料电池系统具有以下关键特征：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车载</w:t>
            </w:r>
          </w:p>
        </w:tc>
        <w:tc>
          <w:tcPr>
            <w:tcW w:type="dxa" w:w="2880"/>
          </w:tcPr>
          <w:p>
            <w:r>
              <w:t>船舶</w:t>
            </w:r>
          </w:p>
        </w:tc>
      </w:tr>
      <w:tr>
        <w:tc>
          <w:tcPr>
            <w:tcW w:type="dxa" w:w="2880"/>
          </w:tcPr>
          <w:p>
            <w:r>
              <w:t>工况特征</w:t>
            </w:r>
          </w:p>
        </w:tc>
        <w:tc>
          <w:tcPr>
            <w:tcW w:type="dxa" w:w="2880"/>
          </w:tcPr>
          <w:p>
            <w:r>
              <w:t>剧烈波动、不可预测</w:t>
            </w:r>
          </w:p>
        </w:tc>
        <w:tc>
          <w:tcPr>
            <w:tcW w:type="dxa" w:w="2880"/>
          </w:tcPr>
          <w:p>
            <w:r>
              <w:t>固定航线、规律性航段</w:t>
            </w:r>
          </w:p>
        </w:tc>
      </w:tr>
      <w:tr>
        <w:tc>
          <w:tcPr>
            <w:tcW w:type="dxa" w:w="2880"/>
          </w:tcPr>
          <w:p>
            <w:r>
              <w:t>运行时长</w:t>
            </w:r>
          </w:p>
        </w:tc>
        <w:tc>
          <w:tcPr>
            <w:tcW w:type="dxa" w:w="2880"/>
          </w:tcPr>
          <w:p>
            <w:r>
              <w:t>数小时/天</w:t>
            </w:r>
          </w:p>
        </w:tc>
        <w:tc>
          <w:tcPr>
            <w:tcW w:type="dxa" w:w="2880"/>
          </w:tcPr>
          <w:p>
            <w:r>
              <w:t>数千小时连续运行</w:t>
            </w:r>
          </w:p>
        </w:tc>
      </w:tr>
      <w:tr>
        <w:tc>
          <w:tcPr>
            <w:tcW w:type="dxa" w:w="2880"/>
          </w:tcPr>
          <w:p>
            <w:r>
              <w:t>功率等级</w:t>
            </w:r>
          </w:p>
        </w:tc>
        <w:tc>
          <w:tcPr>
            <w:tcW w:type="dxa" w:w="2880"/>
          </w:tcPr>
          <w:p>
            <w:r>
              <w:t>50-200 kW</w:t>
            </w:r>
          </w:p>
        </w:tc>
        <w:tc>
          <w:tcPr>
            <w:tcW w:type="dxa" w:w="2880"/>
          </w:tcPr>
          <w:p>
            <w:r>
              <w:t>MW 级</w:t>
            </w:r>
          </w:p>
        </w:tc>
      </w:tr>
      <w:tr>
        <w:tc>
          <w:tcPr>
            <w:tcW w:type="dxa" w:w="2880"/>
          </w:tcPr>
          <w:p>
            <w:r>
              <w:t>安全冗余</w:t>
            </w:r>
          </w:p>
        </w:tc>
        <w:tc>
          <w:tcPr>
            <w:tcW w:type="dxa" w:w="2880"/>
          </w:tcPr>
          <w:p>
            <w:r>
              <w:t>有限</w:t>
            </w:r>
          </w:p>
        </w:tc>
        <w:tc>
          <w:tcPr>
            <w:tcW w:type="dxa" w:w="2880"/>
          </w:tcPr>
          <w:p>
            <w:r>
              <w:t>极高（海上救援困难）</w:t>
            </w:r>
          </w:p>
        </w:tc>
      </w:tr>
    </w:tbl>
    <w:p/>
    <w:p>
      <w:r>
        <w:t>这些特征使得船舶场景对可解释性、退化感知、多时间尺度协调有更高要求。</w:t>
      </w:r>
    </w:p>
    <w:p>
      <w:pPr>
        <w:pStyle w:val="Heading2"/>
      </w:pPr>
      <w:r>
        <w:t>1.2 技术前沿与核心问题</w:t>
      </w:r>
    </w:p>
    <w:p>
      <w:r>
        <w:t>AgentEMS（Wang et al., 2026, eTransportation）首次将 DRL + LLM 结合用于多堆 FC 能量管理。其核心思路是：DP 最优轨迹 → Prompt Engineering → LLM → 可解释规则库。降退化 45%，是当前该领域的标杆工作。</w:t>
      </w:r>
    </w:p>
    <w:p>
      <w:r>
        <w:rPr>
          <w:b/>
        </w:rPr>
        <w:t>本文的核心洞见：</w:t>
      </w:r>
      <w:r>
        <w:t>将 LLM 从「规则提炼器」升级为「控制策略直接执行者」。通过 DRL → LLM 知识蒸馏，让 LLM 学会直接输出控制动作+自然语言解释。</w:t>
      </w:r>
    </w:p>
    <w:p>
      <w:pPr>
        <w:pStyle w:val="Heading2"/>
      </w:pPr>
      <w:r>
        <w:t>1.3 主要创新点</w:t>
      </w:r>
    </w:p>
    <w:p>
      <w:r>
        <w:t>(1) 方法论创新：首次将 LLM 作为控制策略的直接载体，而非规则提炼工具</w:t>
      </w:r>
    </w:p>
    <w:p>
      <w:r>
        <w:t>(2) 范式创新：DRL → LLM 知识蒸馏新范式，可推广到任意 RL 控制问题</w:t>
      </w:r>
    </w:p>
    <w:p>
      <w:r>
        <w:t>(3) 可解释控制：每个决策附带自然语言推理过程，满足船检法规需求</w:t>
      </w:r>
    </w:p>
    <w:p>
      <w:r>
        <w:t>(4) 轻量部署：蒸馏后的小 LLM 只需前向传播，算力要求低于 DRL 推理</w:t>
      </w:r>
    </w:p>
    <w:p>
      <w:r>
        <w:br w:type="page"/>
      </w:r>
    </w:p>
    <w:p>
      <w:pPr>
        <w:pStyle w:val="Heading1"/>
      </w:pPr>
      <w:r>
        <w:t>二、技术方案：四阶段框架</w:t>
      </w:r>
    </w:p>
    <w:p>
      <w:pPr>
        <w:pStyle w:val="Heading2"/>
      </w:pPr>
      <w:r>
        <w:t>Phase I: DRL 教师训练 (Week 5-6)</w:t>
      </w:r>
    </w:p>
    <w:p>
      <w:pPr>
        <w:pStyle w:val="ListBullet"/>
      </w:pPr>
      <w:r>
        <w:t>算法：PPO（首选）/ TD3（备选）</w:t>
      </w:r>
    </w:p>
    <w:p>
      <w:pPr>
        <w:pStyle w:val="ListBullet"/>
      </w:pPr>
      <w:r>
        <w:t>状态空间：[负载, SOC, 各堆SOH/温度/电压/电流]</w:t>
      </w:r>
    </w:p>
    <w:p>
      <w:pPr>
        <w:pStyle w:val="ListBullet"/>
      </w:pPr>
      <w:r>
        <w:t>动作空间：各堆功率分配比例（连续）</w:t>
      </w:r>
    </w:p>
    <w:p>
      <w:pPr>
        <w:pStyle w:val="ListBullet"/>
      </w:pPr>
      <w:r>
        <w:t>奖励函数：J = m_H2 + λ_degrade·D + λ_soc·ΔSOC</w:t>
      </w:r>
    </w:p>
    <w:p>
      <w:pPr>
        <w:pStyle w:val="ListBullet"/>
      </w:pPr>
      <w:r>
        <w:t>课程学习：巡航 → 巡航+靠港 → 全航段混合 → 随机序列</w:t>
      </w:r>
    </w:p>
    <w:p>
      <w:pPr>
        <w:pStyle w:val="Heading2"/>
      </w:pPr>
      <w:r>
        <w:t>Phase II: 经验数据生成与结构化 (Week 7)</w:t>
      </w:r>
    </w:p>
    <w:p>
      <w:pPr>
        <w:pStyle w:val="ListBullet"/>
      </w:pPr>
      <w:r>
        <w:t>Rollout 生成 10 万+ 状态-动作对</w:t>
      </w:r>
    </w:p>
    <w:p>
      <w:pPr>
        <w:pStyle w:val="ListBullet"/>
      </w:pPr>
      <w:r>
        <w:t>Q 值筛选（仅保留 top-50% 高质量决策）</w:t>
      </w:r>
    </w:p>
    <w:p>
      <w:pPr>
        <w:pStyle w:val="ListBullet"/>
      </w:pPr>
      <w:r>
        <w:t>结构化翻译：系统状态 → 控制动作 + 自然语言解释</w:t>
      </w:r>
    </w:p>
    <w:p>
      <w:pPr>
        <w:pStyle w:val="ListBullet"/>
      </w:pPr>
      <w:r>
        <w:t>覆盖 4 种航段、5 种 SOH 组合、多种负载条件</w:t>
      </w:r>
    </w:p>
    <w:p>
      <w:pPr>
        <w:pStyle w:val="Heading2"/>
      </w:pPr>
      <w:r>
        <w:t>Phase III: LLM 学生微调 (Week 8)</w:t>
      </w:r>
    </w:p>
    <w:p>
      <w:pPr>
        <w:pStyle w:val="ListBullet"/>
      </w:pPr>
      <w:r>
        <w:t>模型：Qwen2.5-7B-Instruct</w:t>
      </w:r>
    </w:p>
    <w:p>
      <w:pPr>
        <w:pStyle w:val="ListBullet"/>
      </w:pPr>
      <w:r>
        <w:t>方法：LoRA (r=16, α=32, target: q_proj, v_proj)</w:t>
      </w:r>
    </w:p>
    <w:p>
      <w:pPr>
        <w:pStyle w:val="ListBullet"/>
      </w:pPr>
      <w:r>
        <w:t>联合损失：ℒ = α·ℒ_action(MSE) + β·ℒ_explain(CE)</w:t>
      </w:r>
    </w:p>
    <w:p>
      <w:pPr>
        <w:pStyle w:val="ListBullet"/>
      </w:pPr>
      <w:r>
        <w:t>显存需求：~12-14GB（RTX 3090/4090 可训）</w:t>
      </w:r>
    </w:p>
    <w:p>
      <w:pPr>
        <w:pStyle w:val="Heading2"/>
      </w:pPr>
      <w:r>
        <w:t>Phase IV: 部署与推理</w:t>
      </w:r>
    </w:p>
    <w:p>
      <w:pPr>
        <w:pStyle w:val="ListBullet"/>
      </w:pPr>
      <w:r>
        <w:t>纯 LLM 推理，无需 RL 策略网络</w:t>
      </w:r>
    </w:p>
    <w:p>
      <w:pPr>
        <w:pStyle w:val="ListBullet"/>
      </w:pPr>
      <w:r>
        <w:t>输入：实时传感器状态 → 输出：功率分配 + 原因</w:t>
      </w:r>
    </w:p>
    <w:p>
      <w:pPr>
        <w:pStyle w:val="ListBullet"/>
      </w:pPr>
      <w:r>
        <w:t>可在线更新：新数据增量 LoRA</w:t>
      </w:r>
    </w:p>
    <w:p>
      <w:r>
        <w:br w:type="page"/>
      </w:r>
    </w:p>
    <w:p>
      <w:pPr>
        <w:pStyle w:val="Heading1"/>
      </w:pPr>
      <w:r>
        <w:t>三、开源数据方案</w:t>
      </w:r>
    </w:p>
    <w:p>
      <w:pPr>
        <w:pStyle w:val="Heading2"/>
      </w:pPr>
      <w:r>
        <w:t>3.1 船舶负载数据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TU Delft SH2IPDRIVE (2026)</w:t>
            </w:r>
          </w:p>
        </w:tc>
        <w:tc>
          <w:tcPr>
            <w:tcW w:type="dxa" w:w="2880"/>
          </w:tcPr>
          <w:p>
            <w:r>
              <w:t>天气修正功率曲线 + DP 优化代码</w:t>
            </w:r>
          </w:p>
        </w:tc>
        <w:tc>
          <w:tcPr>
            <w:tcW w:type="dxa" w:w="2880"/>
          </w:tcPr>
          <w:p>
            <w:r>
              <w:t>主力仿真输入</w:t>
            </w:r>
          </w:p>
        </w:tc>
      </w:tr>
      <w:tr>
        <w:tc>
          <w:tcPr>
            <w:tcW w:type="dxa" w:w="2880"/>
          </w:tcPr>
          <w:p>
            <w:r>
              <w:t>NAUTILUS Zenodo (2025)</w:t>
            </w:r>
          </w:p>
        </w:tc>
        <w:tc>
          <w:tcPr>
            <w:tcW w:type="dxa" w:w="2880"/>
          </w:tcPr>
          <w:p>
            <w:r>
              <w:t>62.6 MWh SOFC+电池实测</w:t>
            </w:r>
          </w:p>
        </w:tc>
        <w:tc>
          <w:tcPr>
            <w:tcW w:type="dxa" w:w="2880"/>
          </w:tcPr>
          <w:p>
            <w:r>
              <w:t>交叉验证</w:t>
            </w:r>
          </w:p>
        </w:tc>
      </w:tr>
      <w:tr>
        <w:tc>
          <w:tcPr>
            <w:tcW w:type="dxa" w:w="2880"/>
          </w:tcPr>
          <w:p>
            <w:r>
              <w:t>ShipNetSim (2025)</w:t>
            </w:r>
          </w:p>
        </w:tc>
        <w:tc>
          <w:tcPr>
            <w:tcW w:type="dxa" w:w="2880"/>
          </w:tcPr>
          <w:p>
            <w:r>
              <w:t>开源船舶仿真器</w:t>
            </w:r>
          </w:p>
        </w:tc>
        <w:tc>
          <w:tcPr>
            <w:tcW w:type="dxa" w:w="2880"/>
          </w:tcPr>
          <w:p>
            <w:r>
              <w:t>辅助验证</w:t>
            </w:r>
          </w:p>
        </w:tc>
      </w:tr>
      <w:tr>
        <w:tc>
          <w:tcPr>
            <w:tcW w:type="dxa" w:w="2880"/>
          </w:tcPr>
          <w:p>
            <w:r>
              <w:t>AIS marinecadastre.gov</w:t>
            </w:r>
          </w:p>
        </w:tc>
        <w:tc>
          <w:tcPr>
            <w:tcW w:type="dxa" w:w="2880"/>
          </w:tcPr>
          <w:p>
            <w:r>
              <w:t>免费 AIS 数据 → 功率曲线</w:t>
            </w:r>
          </w:p>
        </w:tc>
        <w:tc>
          <w:tcPr>
            <w:tcW w:type="dxa" w:w="2880"/>
          </w:tcPr>
          <w:p>
            <w:r>
              <w:t>泛化性证明</w:t>
            </w:r>
          </w:p>
        </w:tc>
      </w:tr>
    </w:tbl>
    <w:p>
      <w:pPr>
        <w:pStyle w:val="Heading2"/>
      </w:pPr>
      <w:r>
        <w:t>3.2 燃料电池退化数据</w:t>
      </w:r>
    </w:p>
    <w:p>
      <w:pPr>
        <w:pStyle w:val="ListBullet"/>
      </w:pPr>
      <w:r>
        <w:t>NBSDC 中国数据集（5.6GB）：107 个文件，堆级温度/电压/电流 vs 运行时间</w:t>
      </w:r>
    </w:p>
    <w:p>
      <w:pPr>
        <w:pStyle w:val="ListBullet"/>
      </w:pPr>
      <w:r>
        <w:t>NREL/DOE/JRC：公开 PEMFC 耐久性数据集（2026 RSER 综述目录）</w:t>
      </w:r>
    </w:p>
    <w:p>
      <w:pPr>
        <w:pStyle w:val="ListBullet"/>
      </w:pPr>
      <w:r>
        <w:t>4TU Delft：PEMFC 海洋环境 NaCl/HCl 污染退化数据</w:t>
      </w:r>
    </w:p>
    <w:p>
      <w:pPr>
        <w:pStyle w:val="Heading2"/>
      </w:pPr>
      <w:r>
        <w:t>3.3 仿真环境复用</w:t>
      </w:r>
    </w:p>
    <w:p>
      <w:r>
        <w:t>基于已有的 Day6/7 MATLAB 模型改造为船舶多堆版本，复用已有的燃料电池电化学模型、锂电池模型、DP/ECMS/MPC 算法实现。</w:t>
      </w:r>
    </w:p>
    <w:p>
      <w:r>
        <w:br w:type="page"/>
      </w:r>
    </w:p>
    <w:p>
      <w:pPr>
        <w:pStyle w:val="Heading1"/>
      </w:pPr>
      <w:r>
        <w:t>四、12 周实验方案</w:t>
      </w:r>
    </w:p>
    <w:p>
      <w:pPr>
        <w:pStyle w:val="Heading2"/>
      </w:pPr>
      <w:r>
        <w:t>4.1 时间线总览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关键交付</w:t>
            </w:r>
          </w:p>
        </w:tc>
      </w:tr>
      <w:tr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仿真环境搭建</w:t>
            </w:r>
          </w:p>
        </w:tc>
        <w:tc>
          <w:tcPr>
            <w:tcW w:type="dxa" w:w="2880"/>
          </w:tcPr>
          <w:p>
            <w:r>
              <w:t>多堆FC模型 + 船舶负载 + 退化模型</w:t>
            </w:r>
          </w:p>
        </w:tc>
      </w:tr>
      <w:tr>
        <w:tc>
          <w:tcPr>
            <w:tcW w:type="dxa" w:w="2880"/>
          </w:tcPr>
          <w:p>
            <w:r>
              <w:t>Week 3-4</w:t>
            </w:r>
          </w:p>
        </w:tc>
        <w:tc>
          <w:tcPr>
            <w:tcW w:type="dxa" w:w="2880"/>
          </w:tcPr>
          <w:p>
            <w:r>
              <w:t>基线建立</w:t>
            </w:r>
          </w:p>
        </w:tc>
        <w:tc>
          <w:tcPr>
            <w:tcW w:type="dxa" w:w="2880"/>
          </w:tcPr>
          <w:p>
            <w:r>
              <w:t>DP最优 + 规则式/ECMS/AgentEMS复现</w:t>
            </w:r>
          </w:p>
        </w:tc>
      </w:tr>
      <w:tr>
        <w:tc>
          <w:tcPr>
            <w:tcW w:type="dxa" w:w="2880"/>
          </w:tcPr>
          <w:p>
            <w:r>
              <w:t>Week 5-6</w:t>
            </w:r>
          </w:p>
        </w:tc>
        <w:tc>
          <w:tcPr>
            <w:tcW w:type="dxa" w:w="2880"/>
          </w:tcPr>
          <w:p>
            <w:r>
              <w:t>DRL教师训练</w:t>
            </w:r>
          </w:p>
        </w:tc>
        <w:tc>
          <w:tcPr>
            <w:tcW w:type="dxa" w:w="2880"/>
          </w:tcPr>
          <w:p>
            <w:r>
              <w:t>PPO/TD3 + 课程学习 + 收敛验证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数据管道</w:t>
            </w:r>
          </w:p>
        </w:tc>
        <w:tc>
          <w:tcPr>
            <w:tcW w:type="dxa" w:w="2880"/>
          </w:tcPr>
          <w:p>
            <w:r>
              <w:t>100k 样本 + Q值筛选 + 结构化翻译</w:t>
            </w:r>
          </w:p>
        </w:tc>
      </w:tr>
      <w:tr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LLM微调</w:t>
            </w:r>
          </w:p>
        </w:tc>
        <w:tc>
          <w:tcPr>
            <w:tcW w:type="dxa" w:w="2880"/>
          </w:tcPr>
          <w:p>
            <w:r>
              <w:t>LoRA Qwen2.5-7B + 联合损失训练</w:t>
            </w:r>
          </w:p>
        </w:tc>
      </w:tr>
      <w:tr>
        <w:tc>
          <w:tcPr>
            <w:tcW w:type="dxa" w:w="2880"/>
          </w:tcPr>
          <w:p>
            <w:r>
              <w:t>Week 9-10</w:t>
            </w:r>
          </w:p>
        </w:tc>
        <w:tc>
          <w:tcPr>
            <w:tcW w:type="dxa" w:w="2880"/>
          </w:tcPr>
          <w:p>
            <w:r>
              <w:t>实验验证</w:t>
            </w:r>
          </w:p>
        </w:tc>
        <w:tc>
          <w:tcPr>
            <w:tcW w:type="dxa" w:w="2880"/>
          </w:tcPr>
          <w:p>
            <w:r>
              <w:t>5组实验 + 消融 + 泛化 + 实时性</w:t>
            </w:r>
          </w:p>
        </w:tc>
      </w:tr>
      <w:tr>
        <w:tc>
          <w:tcPr>
            <w:tcW w:type="dxa" w:w="2880"/>
          </w:tcPr>
          <w:p>
            <w:r>
              <w:t>Week 11</w:t>
            </w:r>
          </w:p>
        </w:tc>
        <w:tc>
          <w:tcPr>
            <w:tcW w:type="dxa" w:w="2880"/>
          </w:tcPr>
          <w:p>
            <w:r>
              <w:t>论文写作</w:t>
            </w:r>
          </w:p>
        </w:tc>
        <w:tc>
          <w:tcPr>
            <w:tcW w:type="dxa" w:w="2880"/>
          </w:tcPr>
          <w:p>
            <w:r>
              <w:t>全文 + 图件 + 参考文献</w:t>
            </w:r>
          </w:p>
        </w:tc>
      </w:tr>
      <w:tr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投稿</w:t>
            </w:r>
          </w:p>
        </w:tc>
        <w:tc>
          <w:tcPr>
            <w:tcW w:type="dxa" w:w="2880"/>
          </w:tcPr>
          <w:p>
            <w:r>
              <w:t>格式检查 + 润色 + 提交</w:t>
            </w:r>
          </w:p>
        </w:tc>
      </w:tr>
    </w:tbl>
    <w:p>
      <w:pPr>
        <w:pStyle w:val="Heading2"/>
      </w:pPr>
      <w:r>
        <w:t>4.2 实验设计</w:t>
      </w:r>
    </w:p>
    <w:p>
      <w:pPr>
        <w:pStyle w:val="Heading3"/>
      </w:pPr>
      <w:r>
        <w:t>实验 1：主对比实验</w:t>
      </w:r>
    </w:p>
    <w:p>
      <w:r>
        <w:t>比较 LLM-Student 与 DP（理论最优）、规则均匀、规则SOH优先、ECMS、AgentEMS（复现）、DRL端到端（PPO/TD3）。指标：氢耗、退化成本、总成本、SOC维持</w:t>
      </w:r>
    </w:p>
    <w:p>
      <w:pPr>
        <w:pStyle w:val="Heading3"/>
      </w:pPr>
      <w:r>
        <w:t>实验 2：泛化性测试</w:t>
      </w:r>
    </w:p>
    <w:p>
      <w:r>
        <w:t>测试未见过的 SOH 组合、不同船舶参数（200kW→400kW）、极端天气负载、多航次连续运行（50 航次）</w:t>
      </w:r>
    </w:p>
    <w:p>
      <w:pPr>
        <w:pStyle w:val="Heading3"/>
      </w:pPr>
      <w:r>
        <w:t>实验 3：消融实验</w:t>
      </w:r>
    </w:p>
    <w:p>
      <w:r>
        <w:t>验证 Q 值筛选、解释损失、模型大小（7B vs 1.5B）、蒸馏 vs Behavior Cloning</w:t>
      </w:r>
    </w:p>
    <w:p>
      <w:pPr>
        <w:pStyle w:val="Heading3"/>
      </w:pPr>
      <w:r>
        <w:t>实验 4：实时性验证</w:t>
      </w:r>
    </w:p>
    <w:p>
      <w:r>
        <w:t>LLM-Student vs DRL Teacher：推理延迟、显存占用、模型大小（CPU &amp; GPU）</w:t>
      </w:r>
    </w:p>
    <w:p>
      <w:pPr>
        <w:pStyle w:val="Heading3"/>
      </w:pPr>
      <w:r>
        <w:t>实验 5：可解释性评估</w:t>
      </w:r>
    </w:p>
    <w:p>
      <w:r>
        <w:t>Action Accuracy + Reasoning Relevance (LLM-as-Judge) + Human Rating (1-5)</w:t>
      </w:r>
    </w:p>
    <w:p>
      <w:r>
        <w:br w:type="page"/>
      </w:r>
    </w:p>
    <w:p>
      <w:pPr>
        <w:pStyle w:val="Heading1"/>
      </w:pPr>
      <w:r>
        <w:t>五、风险评估与应对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应对方案</w:t>
            </w:r>
          </w:p>
        </w:tc>
      </w:tr>
      <w:tr>
        <w:tc>
          <w:tcPr>
            <w:tcW w:type="dxa" w:w="2160"/>
          </w:tcPr>
          <w:p>
            <w:r>
              <w:t>LLM 动作精度不够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增大动作损失权重；或用模型 Ensemble</w:t>
            </w:r>
          </w:p>
        </w:tc>
      </w:tr>
      <w:tr>
        <w:tc>
          <w:tcPr>
            <w:tcW w:type="dxa" w:w="2160"/>
          </w:tcPr>
          <w:p>
            <w:r>
              <w:t>仿真环境调试超时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Week1-2 集中攻坚，复用 Day6/7 代码</w:t>
            </w:r>
          </w:p>
        </w:tc>
      </w:tr>
      <w:tr>
        <w:tc>
          <w:tcPr>
            <w:tcW w:type="dxa" w:w="2160"/>
          </w:tcPr>
          <w:p>
            <w:r>
              <w:t>GPU 显存不足 (&lt;12GB)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降级 Qwen2.5-1.5B 或租用 AutoDL</w:t>
            </w:r>
          </w:p>
        </w:tc>
      </w:tr>
      <w:tr>
        <w:tc>
          <w:tcPr>
            <w:tcW w:type="dxa" w:w="2160"/>
          </w:tcPr>
          <w:p>
            <w:r>
              <w:t>PPO 不收敛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切换 TD3 + 调整 Reward Shaping</w:t>
            </w:r>
          </w:p>
        </w:tc>
      </w:tr>
      <w:tr>
        <w:tc>
          <w:tcPr>
            <w:tcW w:type="dxa" w:w="2160"/>
          </w:tcPr>
          <w:p>
            <w:r>
              <w:t>与 AgentEMS 太相似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LLM-as-Student 是本质不同范式，突显差异</w:t>
            </w:r>
          </w:p>
        </w:tc>
      </w:tr>
      <w:tr>
        <w:tc>
          <w:tcPr>
            <w:tcW w:type="dxa" w:w="2160"/>
          </w:tcPr>
          <w:p>
            <w:r>
              <w:t>时间不够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第 10 周末定稿，删非核心实验</w:t>
            </w:r>
          </w:p>
        </w:tc>
      </w:tr>
    </w:tbl>
    <w:p/>
    <w:p>
      <w:pPr>
        <w:pStyle w:val="Heading2"/>
      </w:pPr>
      <w:r>
        <w:t>附录：核心参考文献</w:t>
      </w:r>
    </w:p>
    <w:p>
      <w:pPr>
        <w:pStyle w:val="ListBullet"/>
      </w:pPr>
      <w:r>
        <w:t>[1] Wang et al., AgentEMS: Integrating DRL and LLM-refined rules for hierarchical energy management of multi-stack FC vehicles. eTransportation, 2026.</w:t>
      </w:r>
    </w:p>
    <w:p>
      <w:pPr>
        <w:pStyle w:val="ListBullet"/>
      </w:pPr>
      <w:r>
        <w:t>[2] Zhu et al., Health-Aware Differentiated Energy Management for Multi-Stack FC Hybrid Power Systems on Ships. JMSE, 2026.</w:t>
      </w:r>
    </w:p>
    <w:p>
      <w:pPr>
        <w:pStyle w:val="ListBullet"/>
      </w:pPr>
      <w:r>
        <w:t>[3] Wu et al., An intelligent energy management framework for hybrid-electric propulsion systems using DRL. IJHE, 2025.</w:t>
      </w:r>
    </w:p>
    <w:p>
      <w:pPr>
        <w:pStyle w:val="ListBullet"/>
      </w:pPr>
      <w:r>
        <w:t>[4] Feng et al., Vectorized DP with Multi-time Scale Coordination for FC Hybrid Energy System. Energy, 2026.</w:t>
      </w:r>
    </w:p>
    <w:p>
      <w:pPr>
        <w:pStyle w:val="ListBullet"/>
      </w:pPr>
      <w:r>
        <w:t>[5] Liu et al., Dynamic Degradation-Aware Collaborative Control of Zero-Carbon Ship Hybrid Energy Systems. IEEE Trans, 2025.</w:t>
      </w:r>
    </w:p>
    <w:p>
      <w:pPr>
        <w:pStyle w:val="ListBullet"/>
      </w:pPr>
      <w:r>
        <w:t>[6] Degradation prediction and RUL estimation of PEMFCs: Mechanisms, methods, datasets. RSER,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