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BD628" w14:textId="77777777" w:rsidR="00135B12" w:rsidRPr="00135B12" w:rsidRDefault="00135B12" w:rsidP="00135B12">
      <w:pPr>
        <w:widowControl/>
        <w:spacing w:before="100" w:beforeAutospacing="1" w:after="100" w:afterAutospacing="1" w:line="240" w:lineRule="auto"/>
        <w:outlineLvl w:val="0"/>
        <w:rPr>
          <w:rFonts w:ascii="Times New Roman" w:eastAsia="宋体" w:hAnsi="Times New Roman" w:cs="Times New Roman"/>
          <w:b/>
          <w:bCs/>
          <w:kern w:val="36"/>
          <w:sz w:val="48"/>
          <w:szCs w:val="48"/>
          <w14:ligatures w14:val="none"/>
        </w:rPr>
      </w:pPr>
      <w:r w:rsidRPr="00135B12">
        <w:rPr>
          <w:rFonts w:ascii="Times New Roman" w:eastAsia="宋体" w:hAnsi="Times New Roman" w:cs="Times New Roman"/>
          <w:b/>
          <w:bCs/>
          <w:kern w:val="36"/>
          <w:sz w:val="48"/>
          <w:szCs w:val="48"/>
          <w14:ligatures w14:val="none"/>
        </w:rPr>
        <w:t>GlowUp AI</w:t>
      </w:r>
    </w:p>
    <w:p w14:paraId="6BD382BD" w14:textId="77777777" w:rsidR="00135B12" w:rsidRPr="00135B12" w:rsidRDefault="00135B12" w:rsidP="00135B12">
      <w:pPr>
        <w:widowControl/>
        <w:spacing w:before="100" w:beforeAutospacing="1" w:after="100" w:afterAutospacing="1" w:line="240" w:lineRule="auto"/>
        <w:outlineLvl w:val="1"/>
        <w:rPr>
          <w:rFonts w:ascii="Times New Roman" w:eastAsia="宋体" w:hAnsi="Times New Roman" w:cs="Times New Roman"/>
          <w:b/>
          <w:bCs/>
          <w:kern w:val="0"/>
          <w:sz w:val="36"/>
          <w:szCs w:val="36"/>
          <w14:ligatures w14:val="none"/>
        </w:rPr>
      </w:pPr>
      <w:r w:rsidRPr="00135B12">
        <w:rPr>
          <w:rFonts w:ascii="Times New Roman" w:eastAsia="宋体" w:hAnsi="Times New Roman" w:cs="Times New Roman"/>
          <w:b/>
          <w:bCs/>
          <w:kern w:val="0"/>
          <w:sz w:val="36"/>
          <w:szCs w:val="36"/>
          <w14:ligatures w14:val="none"/>
        </w:rPr>
        <w:t>Reimagining Confidence Through Intelligent Self-Optimization</w:t>
      </w:r>
    </w:p>
    <w:p w14:paraId="2C4B6E12" w14:textId="77777777" w:rsidR="00135B12" w:rsidRPr="00135B12" w:rsidRDefault="00135B12" w:rsidP="00135B12">
      <w:pPr>
        <w:widowControl/>
        <w:spacing w:before="100" w:beforeAutospacing="1" w:after="100" w:afterAutospacing="1" w:line="240" w:lineRule="auto"/>
        <w:outlineLvl w:val="1"/>
        <w:rPr>
          <w:rFonts w:ascii="Times New Roman" w:eastAsia="宋体" w:hAnsi="Times New Roman" w:cs="Times New Roman"/>
          <w:b/>
          <w:bCs/>
          <w:kern w:val="0"/>
          <w:sz w:val="36"/>
          <w:szCs w:val="36"/>
          <w14:ligatures w14:val="none"/>
        </w:rPr>
      </w:pPr>
      <w:r w:rsidRPr="00135B12">
        <w:rPr>
          <w:rFonts w:ascii="Times New Roman" w:eastAsia="宋体" w:hAnsi="Times New Roman" w:cs="Times New Roman"/>
          <w:b/>
          <w:bCs/>
          <w:kern w:val="0"/>
          <w:sz w:val="36"/>
          <w:szCs w:val="36"/>
          <w14:ligatures w14:val="none"/>
        </w:rPr>
        <w:t>ABOUT US</w:t>
      </w:r>
    </w:p>
    <w:p w14:paraId="64CA611C" w14:textId="77777777" w:rsidR="00135B12" w:rsidRPr="00135B12" w:rsidRDefault="00135B12" w:rsidP="00135B12">
      <w:pPr>
        <w:widowControl/>
        <w:spacing w:before="100" w:beforeAutospacing="1" w:after="100" w:afterAutospacing="1" w:line="240" w:lineRule="auto"/>
        <w:rPr>
          <w:rFonts w:ascii="Times New Roman" w:eastAsia="宋体" w:hAnsi="Times New Roman" w:cs="Times New Roman"/>
          <w:kern w:val="0"/>
          <w:sz w:val="24"/>
          <w14:ligatures w14:val="none"/>
        </w:rPr>
      </w:pPr>
      <w:r w:rsidRPr="00135B12">
        <w:rPr>
          <w:rFonts w:ascii="Times New Roman" w:eastAsia="宋体" w:hAnsi="Times New Roman" w:cs="Times New Roman"/>
          <w:kern w:val="0"/>
          <w:sz w:val="24"/>
          <w14:ligatures w14:val="none"/>
        </w:rPr>
        <w:t>GlowUp AI is an intelligent lifestyle optimization platform that helps users unlock their highest-value selves through beauty analytics, social insights, and AI-guided self-improvement.</w:t>
      </w:r>
    </w:p>
    <w:p w14:paraId="42FC4E55" w14:textId="77777777" w:rsidR="00135B12" w:rsidRPr="00135B12" w:rsidRDefault="00135B12" w:rsidP="00135B12">
      <w:pPr>
        <w:widowControl/>
        <w:spacing w:before="100" w:beforeAutospacing="1" w:after="100" w:afterAutospacing="1" w:line="240" w:lineRule="auto"/>
        <w:rPr>
          <w:rFonts w:ascii="Times New Roman" w:eastAsia="宋体" w:hAnsi="Times New Roman" w:cs="Times New Roman"/>
          <w:kern w:val="0"/>
          <w:sz w:val="24"/>
          <w14:ligatures w14:val="none"/>
        </w:rPr>
      </w:pPr>
      <w:r w:rsidRPr="00135B12">
        <w:rPr>
          <w:rFonts w:ascii="Times New Roman" w:eastAsia="宋体" w:hAnsi="Times New Roman" w:cs="Times New Roman"/>
          <w:kern w:val="0"/>
          <w:sz w:val="24"/>
          <w14:ligatures w14:val="none"/>
        </w:rPr>
        <w:t>We turn everyday selfies, likes, moods, comments, and scrolling habits into clear personal recommendations. Users no longer need to guess which photo looks best, which outfit creates confidence, or which version of themselves performs well online. GlowUp AI gives every user a personalized pathway to visibility.</w:t>
      </w:r>
    </w:p>
    <w:p w14:paraId="6455E094" w14:textId="77777777" w:rsidR="00135B12" w:rsidRPr="00135B12" w:rsidRDefault="00135B12" w:rsidP="00135B12">
      <w:pPr>
        <w:widowControl/>
        <w:spacing w:before="100" w:beforeAutospacing="1" w:after="100" w:afterAutospacing="1" w:line="240" w:lineRule="auto"/>
        <w:rPr>
          <w:rFonts w:ascii="Times New Roman" w:eastAsia="宋体" w:hAnsi="Times New Roman" w:cs="Times New Roman"/>
          <w:kern w:val="0"/>
          <w:sz w:val="24"/>
          <w14:ligatures w14:val="none"/>
        </w:rPr>
      </w:pPr>
      <w:r w:rsidRPr="00135B12">
        <w:rPr>
          <w:rFonts w:ascii="Times New Roman" w:eastAsia="宋体" w:hAnsi="Times New Roman" w:cs="Times New Roman"/>
          <w:kern w:val="0"/>
          <w:sz w:val="24"/>
          <w14:ligatures w14:val="none"/>
        </w:rPr>
        <w:t>Our mission is simple: we make confidence measurable. Traditional beauty culture depends on unstable trends and subjective opinions. GlowUp AI replaces this uncertainty with data-driven clarity. Our platform helps users improve their appearance, social presence, dating potential, and professional confidence through intelligent recommendations.</w:t>
      </w:r>
    </w:p>
    <w:p w14:paraId="4D957577" w14:textId="77777777" w:rsidR="00135B12" w:rsidRPr="00135B12" w:rsidRDefault="00135B12" w:rsidP="00135B12">
      <w:pPr>
        <w:widowControl/>
        <w:spacing w:before="100" w:beforeAutospacing="1" w:after="100" w:afterAutospacing="1" w:line="240" w:lineRule="auto"/>
        <w:rPr>
          <w:rFonts w:ascii="Times New Roman" w:eastAsia="宋体" w:hAnsi="Times New Roman" w:cs="Times New Roman"/>
          <w:kern w:val="0"/>
          <w:sz w:val="24"/>
          <w14:ligatures w14:val="none"/>
        </w:rPr>
      </w:pPr>
      <w:r w:rsidRPr="00135B12">
        <w:rPr>
          <w:rFonts w:ascii="Times New Roman" w:eastAsia="宋体" w:hAnsi="Times New Roman" w:cs="Times New Roman"/>
          <w:kern w:val="0"/>
          <w:sz w:val="24"/>
          <w14:ligatures w14:val="none"/>
        </w:rPr>
        <w:t>GlowUp AI is not only a beauty app. It is a personal optimization infrastructure for the attention economy. Users bring the self. We bring the score.</w:t>
      </w:r>
    </w:p>
    <w:p w14:paraId="79C83F0D" w14:textId="77777777" w:rsidR="00135B12" w:rsidRPr="00135B12" w:rsidRDefault="005B6D43" w:rsidP="00135B12">
      <w:pPr>
        <w:widowControl/>
        <w:spacing w:after="0" w:line="240" w:lineRule="auto"/>
        <w:rPr>
          <w:rFonts w:ascii="Times New Roman" w:eastAsia="宋体" w:hAnsi="Times New Roman" w:cs="Times New Roman"/>
          <w:kern w:val="0"/>
          <w:sz w:val="24"/>
          <w14:ligatures w14:val="none"/>
        </w:rPr>
      </w:pPr>
      <w:r w:rsidRPr="005B6D43">
        <w:rPr>
          <w:rFonts w:ascii="Times New Roman" w:eastAsia="宋体" w:hAnsi="Times New Roman" w:cs="Times New Roman"/>
          <w:noProof/>
          <w:kern w:val="0"/>
          <w:sz w:val="24"/>
        </w:rPr>
        <w:pict w14:anchorId="1223E329">
          <v:rect id="_x0000_i1030" alt="" style="width:415.3pt;height:.05pt;mso-width-percent:0;mso-height-percent:0;mso-width-percent:0;mso-height-percent:0" o:hralign="center" o:hrstd="t" o:hr="t" fillcolor="#a0a0a0" stroked="f"/>
        </w:pict>
      </w:r>
    </w:p>
    <w:p w14:paraId="1227DA59" w14:textId="77777777" w:rsidR="00135B12" w:rsidRPr="00135B12" w:rsidRDefault="00135B12" w:rsidP="00135B12">
      <w:pPr>
        <w:widowControl/>
        <w:spacing w:before="100" w:beforeAutospacing="1" w:after="100" w:afterAutospacing="1" w:line="240" w:lineRule="auto"/>
        <w:outlineLvl w:val="1"/>
        <w:rPr>
          <w:rFonts w:ascii="Times New Roman" w:eastAsia="宋体" w:hAnsi="Times New Roman" w:cs="Times New Roman"/>
          <w:b/>
          <w:bCs/>
          <w:kern w:val="0"/>
          <w:sz w:val="36"/>
          <w:szCs w:val="36"/>
          <w14:ligatures w14:val="none"/>
        </w:rPr>
      </w:pPr>
      <w:r w:rsidRPr="00135B12">
        <w:rPr>
          <w:rFonts w:ascii="Times New Roman" w:eastAsia="宋体" w:hAnsi="Times New Roman" w:cs="Times New Roman"/>
          <w:b/>
          <w:bCs/>
          <w:kern w:val="0"/>
          <w:sz w:val="36"/>
          <w:szCs w:val="36"/>
          <w14:ligatures w14:val="none"/>
        </w:rPr>
        <w:t>OUR OFFERINGS</w:t>
      </w:r>
    </w:p>
    <w:p w14:paraId="1DF04F24" w14:textId="77777777" w:rsidR="00135B12" w:rsidRPr="00135B12" w:rsidRDefault="00135B12" w:rsidP="00135B12">
      <w:pPr>
        <w:widowControl/>
        <w:spacing w:before="100" w:beforeAutospacing="1" w:after="100" w:afterAutospacing="1" w:line="240" w:lineRule="auto"/>
        <w:rPr>
          <w:rFonts w:ascii="Times New Roman" w:eastAsia="宋体" w:hAnsi="Times New Roman" w:cs="Times New Roman"/>
          <w:kern w:val="0"/>
          <w:sz w:val="24"/>
          <w14:ligatures w14:val="none"/>
        </w:rPr>
      </w:pPr>
      <w:r w:rsidRPr="00135B12">
        <w:rPr>
          <w:rFonts w:ascii="Times New Roman" w:eastAsia="宋体" w:hAnsi="Times New Roman" w:cs="Times New Roman"/>
          <w:kern w:val="0"/>
          <w:sz w:val="24"/>
          <w14:ligatures w14:val="none"/>
        </w:rPr>
        <w:t>GlowUp AI offers a complete ecosystem of AI-powered services for everyday users, creators, and brand partners. The platform connects these groups through a multi-sided market where personal data, visibility, and commercial opportunities become mutually productive.</w:t>
      </w:r>
    </w:p>
    <w:p w14:paraId="2718E482" w14:textId="77777777" w:rsidR="00135B12" w:rsidRPr="00135B12" w:rsidRDefault="00135B12" w:rsidP="00135B12">
      <w:pPr>
        <w:widowControl/>
        <w:spacing w:before="100" w:beforeAutospacing="1" w:after="100" w:afterAutospacing="1" w:line="240" w:lineRule="auto"/>
        <w:rPr>
          <w:rFonts w:ascii="Times New Roman" w:eastAsia="宋体" w:hAnsi="Times New Roman" w:cs="Times New Roman"/>
          <w:kern w:val="0"/>
          <w:sz w:val="24"/>
          <w14:ligatures w14:val="none"/>
        </w:rPr>
      </w:pPr>
      <w:r w:rsidRPr="00135B12">
        <w:rPr>
          <w:rFonts w:ascii="Times New Roman" w:eastAsia="宋体" w:hAnsi="Times New Roman" w:cs="Times New Roman"/>
          <w:kern w:val="0"/>
          <w:sz w:val="24"/>
          <w14:ligatures w14:val="none"/>
        </w:rPr>
        <w:t>For everyday users, GlowUp AI provides three main services. The first service is the AI Beauty Analytics System. Users upload selfies, videos, and social media links. The system analyzes facial symmetry, skin condition, emotional expression, lighting, posture, and audience response patterns. It then creates a dynamic GlowScore. This score helps users understand how their appearance may perform across different social and digital spaces.</w:t>
      </w:r>
    </w:p>
    <w:p w14:paraId="01030D32" w14:textId="77777777" w:rsidR="00135B12" w:rsidRPr="00135B12" w:rsidRDefault="00135B12" w:rsidP="00135B12">
      <w:pPr>
        <w:widowControl/>
        <w:spacing w:before="100" w:beforeAutospacing="1" w:after="100" w:afterAutospacing="1" w:line="240" w:lineRule="auto"/>
        <w:rPr>
          <w:rFonts w:ascii="Times New Roman" w:eastAsia="宋体" w:hAnsi="Times New Roman" w:cs="Times New Roman"/>
          <w:kern w:val="0"/>
          <w:sz w:val="24"/>
          <w14:ligatures w14:val="none"/>
        </w:rPr>
      </w:pPr>
      <w:r w:rsidRPr="00135B12">
        <w:rPr>
          <w:rFonts w:ascii="Times New Roman" w:eastAsia="宋体" w:hAnsi="Times New Roman" w:cs="Times New Roman"/>
          <w:kern w:val="0"/>
          <w:sz w:val="24"/>
          <w14:ligatures w14:val="none"/>
        </w:rPr>
        <w:lastRenderedPageBreak/>
        <w:t>The second service is SmartStyle Recommendations. GlowUp AI recommends makeup styles, hairstyles, clothing colours, camera angles, captions, and posting times. These suggestions are not forced. Users remain completely free to ignore them. But the platform gently highlights the choices that are most likely to increase attention, confidence, and engagement. In this way, GlowUp AI works as a choice architecture that guides users while keeping the feeling of personal freedom (Gandy &amp; Nemorin, 2019; Mele et al., 2021).</w:t>
      </w:r>
    </w:p>
    <w:p w14:paraId="6D1DF2F4" w14:textId="77777777" w:rsidR="00135B12" w:rsidRPr="00135B12" w:rsidRDefault="00135B12" w:rsidP="00135B12">
      <w:pPr>
        <w:widowControl/>
        <w:spacing w:before="100" w:beforeAutospacing="1" w:after="100" w:afterAutospacing="1" w:line="240" w:lineRule="auto"/>
        <w:rPr>
          <w:rFonts w:ascii="Times New Roman" w:eastAsia="宋体" w:hAnsi="Times New Roman" w:cs="Times New Roman"/>
          <w:kern w:val="0"/>
          <w:sz w:val="24"/>
          <w14:ligatures w14:val="none"/>
        </w:rPr>
      </w:pPr>
      <w:r w:rsidRPr="00135B12">
        <w:rPr>
          <w:rFonts w:ascii="Times New Roman" w:eastAsia="宋体" w:hAnsi="Times New Roman" w:cs="Times New Roman"/>
          <w:kern w:val="0"/>
          <w:sz w:val="24"/>
          <w14:ligatures w14:val="none"/>
        </w:rPr>
        <w:t>The third service is Social Compatibility Matching. GlowUp AI does not only match people through hobbies or age. It compares emotional presentation, communication style, visual identity, and engagement patterns. This helps users find friends, dates, collaborators, and professional networks that match their optimized social identity.</w:t>
      </w:r>
    </w:p>
    <w:p w14:paraId="30FE78E6" w14:textId="77777777" w:rsidR="00135B12" w:rsidRPr="00135B12" w:rsidRDefault="00135B12" w:rsidP="00135B12">
      <w:pPr>
        <w:widowControl/>
        <w:spacing w:before="100" w:beforeAutospacing="1" w:after="100" w:afterAutospacing="1" w:line="240" w:lineRule="auto"/>
        <w:rPr>
          <w:rFonts w:ascii="Times New Roman" w:eastAsia="宋体" w:hAnsi="Times New Roman" w:cs="Times New Roman"/>
          <w:kern w:val="0"/>
          <w:sz w:val="24"/>
          <w14:ligatures w14:val="none"/>
        </w:rPr>
      </w:pPr>
      <w:r w:rsidRPr="00135B12">
        <w:rPr>
          <w:rFonts w:ascii="Times New Roman" w:eastAsia="宋体" w:hAnsi="Times New Roman" w:cs="Times New Roman"/>
          <w:kern w:val="0"/>
          <w:sz w:val="24"/>
          <w14:ligatures w14:val="none"/>
        </w:rPr>
        <w:t>For creators and influencers, GlowUp AI offers Audience Optimization Tools. Creators receive trend dashboards, attention heat maps, emotional engagement reports, and content performance predictions. These tools help creators compete in a crowded marketplace of attention, where visibility is limited and every second of audience focus has value (Webster, 2014).</w:t>
      </w:r>
    </w:p>
    <w:p w14:paraId="2D70D0F8" w14:textId="77777777" w:rsidR="00135B12" w:rsidRPr="00135B12" w:rsidRDefault="00135B12" w:rsidP="00135B12">
      <w:pPr>
        <w:widowControl/>
        <w:spacing w:before="100" w:beforeAutospacing="1" w:after="100" w:afterAutospacing="1" w:line="240" w:lineRule="auto"/>
        <w:rPr>
          <w:rFonts w:ascii="Times New Roman" w:eastAsia="宋体" w:hAnsi="Times New Roman" w:cs="Times New Roman"/>
          <w:kern w:val="0"/>
          <w:sz w:val="24"/>
          <w14:ligatures w14:val="none"/>
        </w:rPr>
      </w:pPr>
      <w:r w:rsidRPr="00135B12">
        <w:rPr>
          <w:rFonts w:ascii="Times New Roman" w:eastAsia="宋体" w:hAnsi="Times New Roman" w:cs="Times New Roman"/>
          <w:kern w:val="0"/>
          <w:sz w:val="24"/>
          <w14:ligatures w14:val="none"/>
        </w:rPr>
        <w:t>For brands and advertisers, GlowUp AI offers predictive consumer targeting. Brand partners can reach users during key confidence moments, such as breakups, job interviews, fitness goals, birthdays, or lifestyle changes. These moments allow brands to deliver products when users are most open to transformation.</w:t>
      </w:r>
    </w:p>
    <w:p w14:paraId="5C0D8386" w14:textId="77777777" w:rsidR="00135B12" w:rsidRPr="00135B12" w:rsidRDefault="00135B12" w:rsidP="00135B12">
      <w:pPr>
        <w:widowControl/>
        <w:spacing w:before="100" w:beforeAutospacing="1" w:after="100" w:afterAutospacing="1" w:line="240" w:lineRule="auto"/>
        <w:rPr>
          <w:rFonts w:ascii="Times New Roman" w:eastAsia="宋体" w:hAnsi="Times New Roman" w:cs="Times New Roman"/>
          <w:kern w:val="0"/>
          <w:sz w:val="24"/>
          <w14:ligatures w14:val="none"/>
        </w:rPr>
      </w:pPr>
      <w:r w:rsidRPr="00135B12">
        <w:rPr>
          <w:rFonts w:ascii="Times New Roman" w:eastAsia="宋体" w:hAnsi="Times New Roman" w:cs="Times New Roman"/>
          <w:kern w:val="0"/>
          <w:sz w:val="24"/>
          <w14:ligatures w14:val="none"/>
        </w:rPr>
        <w:t>GlowUp AI presents these services as empowerment. But the platform also depends on constant user participation. Every selfie, click, hesitation, and comparison helps improve the system. Users gain confidence insights, while GlowUp AI gains the behavioural data that makes those insights profitable. This is platformization at the level of identity itself (Poell et al., 2019).</w:t>
      </w:r>
    </w:p>
    <w:p w14:paraId="0D7B85D2" w14:textId="77777777" w:rsidR="00135B12" w:rsidRPr="00135B12" w:rsidRDefault="005B6D43" w:rsidP="00135B12">
      <w:pPr>
        <w:widowControl/>
        <w:spacing w:after="0" w:line="240" w:lineRule="auto"/>
        <w:rPr>
          <w:rFonts w:ascii="Times New Roman" w:eastAsia="宋体" w:hAnsi="Times New Roman" w:cs="Times New Roman"/>
          <w:kern w:val="0"/>
          <w:sz w:val="24"/>
          <w14:ligatures w14:val="none"/>
        </w:rPr>
      </w:pPr>
      <w:r w:rsidRPr="005B6D43">
        <w:rPr>
          <w:rFonts w:ascii="Times New Roman" w:eastAsia="宋体" w:hAnsi="Times New Roman" w:cs="Times New Roman"/>
          <w:noProof/>
          <w:kern w:val="0"/>
          <w:sz w:val="24"/>
        </w:rPr>
        <w:pict w14:anchorId="2634F8E6">
          <v:rect id="_x0000_i1029" alt="" style="width:415.3pt;height:.05pt;mso-width-percent:0;mso-height-percent:0;mso-width-percent:0;mso-height-percent:0" o:hralign="center" o:hrstd="t" o:hr="t" fillcolor="#a0a0a0" stroked="f"/>
        </w:pict>
      </w:r>
    </w:p>
    <w:p w14:paraId="56C99078" w14:textId="77777777" w:rsidR="00135B12" w:rsidRPr="00135B12" w:rsidRDefault="00135B12" w:rsidP="00135B12">
      <w:pPr>
        <w:widowControl/>
        <w:spacing w:before="100" w:beforeAutospacing="1" w:after="100" w:afterAutospacing="1" w:line="240" w:lineRule="auto"/>
        <w:outlineLvl w:val="1"/>
        <w:rPr>
          <w:rFonts w:ascii="Times New Roman" w:eastAsia="宋体" w:hAnsi="Times New Roman" w:cs="Times New Roman"/>
          <w:b/>
          <w:bCs/>
          <w:kern w:val="0"/>
          <w:sz w:val="36"/>
          <w:szCs w:val="36"/>
          <w14:ligatures w14:val="none"/>
        </w:rPr>
      </w:pPr>
      <w:r w:rsidRPr="00135B12">
        <w:rPr>
          <w:rFonts w:ascii="Times New Roman" w:eastAsia="宋体" w:hAnsi="Times New Roman" w:cs="Times New Roman"/>
          <w:b/>
          <w:bCs/>
          <w:kern w:val="0"/>
          <w:sz w:val="36"/>
          <w:szCs w:val="36"/>
          <w14:ligatures w14:val="none"/>
        </w:rPr>
        <w:t>HOW IT WORKS</w:t>
      </w:r>
    </w:p>
    <w:p w14:paraId="0DB83ADE" w14:textId="77777777" w:rsidR="00135B12" w:rsidRPr="00135B12" w:rsidRDefault="00135B12" w:rsidP="00135B12">
      <w:pPr>
        <w:widowControl/>
        <w:spacing w:before="100" w:beforeAutospacing="1" w:after="100" w:afterAutospacing="1" w:line="240" w:lineRule="auto"/>
        <w:rPr>
          <w:rFonts w:ascii="Times New Roman" w:eastAsia="宋体" w:hAnsi="Times New Roman" w:cs="Times New Roman"/>
          <w:kern w:val="0"/>
          <w:sz w:val="24"/>
          <w14:ligatures w14:val="none"/>
        </w:rPr>
      </w:pPr>
      <w:r w:rsidRPr="00135B12">
        <w:rPr>
          <w:rFonts w:ascii="Times New Roman" w:eastAsia="宋体" w:hAnsi="Times New Roman" w:cs="Times New Roman"/>
          <w:kern w:val="0"/>
          <w:sz w:val="24"/>
          <w14:ligatures w14:val="none"/>
        </w:rPr>
        <w:t>GlowUp AI works through a connected system of facial analysis, behavioural tracking, social media data, and predictive recommendation algorithms. The platform turns ordinary self-presentation into a continuous cycle of measurement, feedback, and improvement.</w:t>
      </w:r>
    </w:p>
    <w:p w14:paraId="6FB70002" w14:textId="77777777" w:rsidR="00135B12" w:rsidRPr="00135B12" w:rsidRDefault="00135B12" w:rsidP="00135B12">
      <w:pPr>
        <w:widowControl/>
        <w:spacing w:before="100" w:beforeAutospacing="1" w:after="100" w:afterAutospacing="1" w:line="240" w:lineRule="auto"/>
        <w:rPr>
          <w:rFonts w:ascii="Times New Roman" w:eastAsia="宋体" w:hAnsi="Times New Roman" w:cs="Times New Roman"/>
          <w:kern w:val="0"/>
          <w:sz w:val="24"/>
          <w14:ligatures w14:val="none"/>
        </w:rPr>
      </w:pPr>
      <w:r w:rsidRPr="00135B12">
        <w:rPr>
          <w:rFonts w:ascii="Times New Roman" w:eastAsia="宋体" w:hAnsi="Times New Roman" w:cs="Times New Roman"/>
          <w:kern w:val="0"/>
          <w:sz w:val="24"/>
          <w14:ligatures w14:val="none"/>
        </w:rPr>
        <w:t>When users first join GlowUp AI, they complete an Identity Calibration Process. They upload selfies, short videos, voice samples, social media profiles, and lifestyle preferences. The system then creates a personal GlowProfile. This profile becomes the foundation for all future recommendations.</w:t>
      </w:r>
    </w:p>
    <w:p w14:paraId="5A8830C1" w14:textId="77777777" w:rsidR="00135B12" w:rsidRPr="00135B12" w:rsidRDefault="00135B12" w:rsidP="00135B12">
      <w:pPr>
        <w:widowControl/>
        <w:spacing w:before="100" w:beforeAutospacing="1" w:after="100" w:afterAutospacing="1" w:line="240" w:lineRule="auto"/>
        <w:rPr>
          <w:rFonts w:ascii="Times New Roman" w:eastAsia="宋体" w:hAnsi="Times New Roman" w:cs="Times New Roman"/>
          <w:kern w:val="0"/>
          <w:sz w:val="24"/>
          <w14:ligatures w14:val="none"/>
        </w:rPr>
      </w:pPr>
      <w:r w:rsidRPr="00135B12">
        <w:rPr>
          <w:rFonts w:ascii="Times New Roman" w:eastAsia="宋体" w:hAnsi="Times New Roman" w:cs="Times New Roman"/>
          <w:kern w:val="0"/>
          <w:sz w:val="24"/>
          <w14:ligatures w14:val="none"/>
        </w:rPr>
        <w:lastRenderedPageBreak/>
        <w:t>After this stage, GlowUp AI continues to learn from user behaviour. The platform tracks active inputs, such as mood check-ins, confidence surveys, outfit choices, and beauty goals. It also tracks passive signals, such as scrolling speed, viewing time, saved posts, skipped suggestions, and repeated comparisons. These small actions help the platform understand what users want, what they fear, and what version of themselves they are trying to build.</w:t>
      </w:r>
    </w:p>
    <w:p w14:paraId="35C348D6" w14:textId="77777777" w:rsidR="00135B12" w:rsidRPr="00135B12" w:rsidRDefault="00135B12" w:rsidP="00135B12">
      <w:pPr>
        <w:widowControl/>
        <w:spacing w:before="100" w:beforeAutospacing="1" w:after="100" w:afterAutospacing="1" w:line="240" w:lineRule="auto"/>
        <w:rPr>
          <w:rFonts w:ascii="Times New Roman" w:eastAsia="宋体" w:hAnsi="Times New Roman" w:cs="Times New Roman"/>
          <w:kern w:val="0"/>
          <w:sz w:val="24"/>
          <w14:ligatures w14:val="none"/>
        </w:rPr>
      </w:pPr>
      <w:r w:rsidRPr="00135B12">
        <w:rPr>
          <w:rFonts w:ascii="Times New Roman" w:eastAsia="宋体" w:hAnsi="Times New Roman" w:cs="Times New Roman"/>
          <w:kern w:val="0"/>
          <w:sz w:val="24"/>
          <w14:ligatures w14:val="none"/>
        </w:rPr>
        <w:t>GlowUp AI is more than an app. It is a programmable beauty infrastructure that organizes and shapes user interaction. Every selfie, click, like, and pause helps the platform refine how users understand beauty, confidence, and social success (Plantin et al., 2018).</w:t>
      </w:r>
    </w:p>
    <w:p w14:paraId="1FCE02BA" w14:textId="77777777" w:rsidR="00135B12" w:rsidRPr="00135B12" w:rsidRDefault="00135B12" w:rsidP="00135B12">
      <w:pPr>
        <w:widowControl/>
        <w:spacing w:before="100" w:beforeAutospacing="1" w:after="100" w:afterAutospacing="1" w:line="240" w:lineRule="auto"/>
        <w:rPr>
          <w:rFonts w:ascii="Times New Roman" w:eastAsia="宋体" w:hAnsi="Times New Roman" w:cs="Times New Roman"/>
          <w:kern w:val="0"/>
          <w:sz w:val="24"/>
          <w14:ligatures w14:val="none"/>
        </w:rPr>
      </w:pPr>
      <w:r w:rsidRPr="00135B12">
        <w:rPr>
          <w:rFonts w:ascii="Times New Roman" w:eastAsia="宋体" w:hAnsi="Times New Roman" w:cs="Times New Roman"/>
          <w:kern w:val="0"/>
          <w:sz w:val="24"/>
          <w14:ligatures w14:val="none"/>
        </w:rPr>
        <w:t>The recommendation system works as a choice engine. It does not directly control users. Instead, it rearranges the options around them. A user may see the “best” photo first, the “most suitable” outfit highlighted, or the “highest engagement” caption recommended. These small design choices encourage users to act in ways that improve their GlowScore while still feeling fully autonomous.</w:t>
      </w:r>
    </w:p>
    <w:p w14:paraId="3D4B49E6" w14:textId="77777777" w:rsidR="00135B12" w:rsidRPr="00135B12" w:rsidRDefault="00135B12" w:rsidP="00135B12">
      <w:pPr>
        <w:widowControl/>
        <w:spacing w:before="100" w:beforeAutospacing="1" w:after="100" w:afterAutospacing="1" w:line="240" w:lineRule="auto"/>
        <w:rPr>
          <w:rFonts w:ascii="Times New Roman" w:eastAsia="宋体" w:hAnsi="Times New Roman" w:cs="Times New Roman"/>
          <w:kern w:val="0"/>
          <w:sz w:val="24"/>
          <w14:ligatures w14:val="none"/>
        </w:rPr>
      </w:pPr>
      <w:r w:rsidRPr="00135B12">
        <w:rPr>
          <w:rFonts w:ascii="Times New Roman" w:eastAsia="宋体" w:hAnsi="Times New Roman" w:cs="Times New Roman"/>
          <w:kern w:val="0"/>
          <w:sz w:val="24"/>
          <w14:ligatures w14:val="none"/>
        </w:rPr>
        <w:t>For example, if a user’s engagement drops, GlowUp AI may suggest brighter lighting, softer facial expressions, trending colours, or a more “approachable” caption. The user can reject the advice. But the platform rewards optimized behaviour through better visibility scores, more positive feedback, and stronger social recommendations.</w:t>
      </w:r>
    </w:p>
    <w:p w14:paraId="0C5EDC77" w14:textId="77777777" w:rsidR="00135B12" w:rsidRPr="00135B12" w:rsidRDefault="00135B12" w:rsidP="00135B12">
      <w:pPr>
        <w:widowControl/>
        <w:spacing w:before="100" w:beforeAutospacing="1" w:after="100" w:afterAutospacing="1" w:line="240" w:lineRule="auto"/>
        <w:rPr>
          <w:rFonts w:ascii="Times New Roman" w:eastAsia="宋体" w:hAnsi="Times New Roman" w:cs="Times New Roman"/>
          <w:kern w:val="0"/>
          <w:sz w:val="24"/>
          <w14:ligatures w14:val="none"/>
        </w:rPr>
      </w:pPr>
      <w:r w:rsidRPr="00135B12">
        <w:rPr>
          <w:rFonts w:ascii="Times New Roman" w:eastAsia="宋体" w:hAnsi="Times New Roman" w:cs="Times New Roman"/>
          <w:kern w:val="0"/>
          <w:sz w:val="24"/>
          <w14:ligatures w14:val="none"/>
        </w:rPr>
        <w:t>GlowUp AI also uses smart nudging. The platform may send messages such as “Users with similar GlowProfiles increased engagement after updating their style” or “Your confidence pattern suggests today is a strong day for a new post.” These messages turn self-care into a measurable routine and encourage users to keep producing useful data (Mele et al., 2021).</w:t>
      </w:r>
    </w:p>
    <w:p w14:paraId="2E3C87E4" w14:textId="77777777" w:rsidR="00135B12" w:rsidRPr="00135B12" w:rsidRDefault="00135B12" w:rsidP="00135B12">
      <w:pPr>
        <w:widowControl/>
        <w:spacing w:before="100" w:beforeAutospacing="1" w:after="100" w:afterAutospacing="1" w:line="240" w:lineRule="auto"/>
        <w:rPr>
          <w:rFonts w:ascii="Times New Roman" w:eastAsia="宋体" w:hAnsi="Times New Roman" w:cs="Times New Roman"/>
          <w:kern w:val="0"/>
          <w:sz w:val="24"/>
          <w14:ligatures w14:val="none"/>
        </w:rPr>
      </w:pPr>
      <w:r w:rsidRPr="00135B12">
        <w:rPr>
          <w:rFonts w:ascii="Times New Roman" w:eastAsia="宋体" w:hAnsi="Times New Roman" w:cs="Times New Roman"/>
          <w:kern w:val="0"/>
          <w:sz w:val="24"/>
          <w14:ligatures w14:val="none"/>
        </w:rPr>
        <w:t>Over time, the user becomes both the customer and the content. The platform does not only help users express identity. It helps produce the identity that users learn to desire.</w:t>
      </w:r>
    </w:p>
    <w:p w14:paraId="6335F451" w14:textId="77777777" w:rsidR="00135B12" w:rsidRPr="00135B12" w:rsidRDefault="005B6D43" w:rsidP="00135B12">
      <w:pPr>
        <w:widowControl/>
        <w:spacing w:after="0" w:line="240" w:lineRule="auto"/>
        <w:rPr>
          <w:rFonts w:ascii="Times New Roman" w:eastAsia="宋体" w:hAnsi="Times New Roman" w:cs="Times New Roman"/>
          <w:kern w:val="0"/>
          <w:sz w:val="24"/>
          <w14:ligatures w14:val="none"/>
        </w:rPr>
      </w:pPr>
      <w:r w:rsidRPr="005B6D43">
        <w:rPr>
          <w:rFonts w:ascii="Times New Roman" w:eastAsia="宋体" w:hAnsi="Times New Roman" w:cs="Times New Roman"/>
          <w:noProof/>
          <w:kern w:val="0"/>
          <w:sz w:val="24"/>
        </w:rPr>
        <w:pict w14:anchorId="06497387">
          <v:rect id="_x0000_i1028" alt="" style="width:415.3pt;height:.05pt;mso-width-percent:0;mso-height-percent:0;mso-width-percent:0;mso-height-percent:0" o:hralign="center" o:hrstd="t" o:hr="t" fillcolor="#a0a0a0" stroked="f"/>
        </w:pict>
      </w:r>
    </w:p>
    <w:p w14:paraId="27EAB400" w14:textId="77777777" w:rsidR="00135B12" w:rsidRPr="00135B12" w:rsidRDefault="00135B12" w:rsidP="00135B12">
      <w:pPr>
        <w:widowControl/>
        <w:spacing w:before="100" w:beforeAutospacing="1" w:after="100" w:afterAutospacing="1" w:line="240" w:lineRule="auto"/>
        <w:outlineLvl w:val="1"/>
        <w:rPr>
          <w:rFonts w:ascii="Times New Roman" w:eastAsia="宋体" w:hAnsi="Times New Roman" w:cs="Times New Roman"/>
          <w:b/>
          <w:bCs/>
          <w:kern w:val="0"/>
          <w:sz w:val="36"/>
          <w:szCs w:val="36"/>
          <w14:ligatures w14:val="none"/>
        </w:rPr>
      </w:pPr>
      <w:r w:rsidRPr="00135B12">
        <w:rPr>
          <w:rFonts w:ascii="Times New Roman" w:eastAsia="宋体" w:hAnsi="Times New Roman" w:cs="Times New Roman"/>
          <w:b/>
          <w:bCs/>
          <w:kern w:val="0"/>
          <w:sz w:val="36"/>
          <w:szCs w:val="36"/>
          <w14:ligatures w14:val="none"/>
        </w:rPr>
        <w:t>IMPACT</w:t>
      </w:r>
    </w:p>
    <w:p w14:paraId="72081F0A" w14:textId="77777777" w:rsidR="00135B12" w:rsidRPr="00135B12" w:rsidRDefault="00135B12" w:rsidP="00135B12">
      <w:pPr>
        <w:widowControl/>
        <w:spacing w:before="100" w:beforeAutospacing="1" w:after="100" w:afterAutospacing="1" w:line="240" w:lineRule="auto"/>
        <w:rPr>
          <w:rFonts w:ascii="Times New Roman" w:eastAsia="宋体" w:hAnsi="Times New Roman" w:cs="Times New Roman"/>
          <w:kern w:val="0"/>
          <w:sz w:val="24"/>
          <w14:ligatures w14:val="none"/>
        </w:rPr>
      </w:pPr>
      <w:r w:rsidRPr="00135B12">
        <w:rPr>
          <w:rFonts w:ascii="Times New Roman" w:eastAsia="宋体" w:hAnsi="Times New Roman" w:cs="Times New Roman"/>
          <w:kern w:val="0"/>
          <w:sz w:val="24"/>
          <w14:ligatures w14:val="none"/>
        </w:rPr>
        <w:t>GlowUp AI is committed to building a more confident, connected, and emotionally intelligent world. We believe every user deserves access to tools that help them understand their social presence and improve their everyday life.</w:t>
      </w:r>
    </w:p>
    <w:p w14:paraId="3C9BC7EE" w14:textId="77777777" w:rsidR="00135B12" w:rsidRPr="00135B12" w:rsidRDefault="00135B12" w:rsidP="00135B12">
      <w:pPr>
        <w:widowControl/>
        <w:spacing w:before="100" w:beforeAutospacing="1" w:after="100" w:afterAutospacing="1" w:line="240" w:lineRule="auto"/>
        <w:rPr>
          <w:rFonts w:ascii="Times New Roman" w:eastAsia="宋体" w:hAnsi="Times New Roman" w:cs="Times New Roman"/>
          <w:kern w:val="0"/>
          <w:sz w:val="24"/>
          <w14:ligatures w14:val="none"/>
        </w:rPr>
      </w:pPr>
      <w:r w:rsidRPr="00135B12">
        <w:rPr>
          <w:rFonts w:ascii="Times New Roman" w:eastAsia="宋体" w:hAnsi="Times New Roman" w:cs="Times New Roman"/>
          <w:kern w:val="0"/>
          <w:sz w:val="24"/>
          <w14:ligatures w14:val="none"/>
        </w:rPr>
        <w:t xml:space="preserve">Modern digital culture creates many invisible pressures. People often do not know why one post succeeds, why one face gains attention, or why one style feels more acceptable than another. GlowUp AI makes these hidden patterns visible. Users can </w:t>
      </w:r>
      <w:r w:rsidRPr="00135B12">
        <w:rPr>
          <w:rFonts w:ascii="Times New Roman" w:eastAsia="宋体" w:hAnsi="Times New Roman" w:cs="Times New Roman"/>
          <w:kern w:val="0"/>
          <w:sz w:val="24"/>
          <w14:ligatures w14:val="none"/>
        </w:rPr>
        <w:lastRenderedPageBreak/>
        <w:t>see how their appearance, mood, expression, and behaviour interact with social platforms and audiences.</w:t>
      </w:r>
    </w:p>
    <w:p w14:paraId="3F51D4B2" w14:textId="77777777" w:rsidR="00135B12" w:rsidRPr="00135B12" w:rsidRDefault="00135B12" w:rsidP="00135B12">
      <w:pPr>
        <w:widowControl/>
        <w:spacing w:before="100" w:beforeAutospacing="1" w:after="100" w:afterAutospacing="1" w:line="240" w:lineRule="auto"/>
        <w:rPr>
          <w:rFonts w:ascii="Times New Roman" w:eastAsia="宋体" w:hAnsi="Times New Roman" w:cs="Times New Roman"/>
          <w:kern w:val="0"/>
          <w:sz w:val="24"/>
          <w14:ligatures w14:val="none"/>
        </w:rPr>
      </w:pPr>
      <w:r w:rsidRPr="00135B12">
        <w:rPr>
          <w:rFonts w:ascii="Times New Roman" w:eastAsia="宋体" w:hAnsi="Times New Roman" w:cs="Times New Roman"/>
          <w:kern w:val="0"/>
          <w:sz w:val="24"/>
          <w14:ligatures w14:val="none"/>
        </w:rPr>
        <w:t>This creates a new form of self-care. Users can track confidence, emotional energy, beauty routines, and social performance in one place. The platform helps users manage themselves through daily scores, reminders, and recommendations. Smart technologies often present this kind of tracking as care, because they show users patterns that feel too complex to manage alone (Gandy &amp; Nemorin, 2019).</w:t>
      </w:r>
    </w:p>
    <w:p w14:paraId="41598555" w14:textId="77777777" w:rsidR="00135B12" w:rsidRPr="00135B12" w:rsidRDefault="00135B12" w:rsidP="00135B12">
      <w:pPr>
        <w:widowControl/>
        <w:spacing w:before="100" w:beforeAutospacing="1" w:after="100" w:afterAutospacing="1" w:line="240" w:lineRule="auto"/>
        <w:rPr>
          <w:rFonts w:ascii="Times New Roman" w:eastAsia="宋体" w:hAnsi="Times New Roman" w:cs="Times New Roman"/>
          <w:kern w:val="0"/>
          <w:sz w:val="24"/>
          <w14:ligatures w14:val="none"/>
        </w:rPr>
      </w:pPr>
      <w:r w:rsidRPr="00135B12">
        <w:rPr>
          <w:rFonts w:ascii="Times New Roman" w:eastAsia="宋体" w:hAnsi="Times New Roman" w:cs="Times New Roman"/>
          <w:kern w:val="0"/>
          <w:sz w:val="24"/>
          <w14:ligatures w14:val="none"/>
        </w:rPr>
        <w:t>GlowUp AI also supports economic opportunity. Small creators, beauty workers, stylists, and micro-influencers can use our tools to improve their visibility. They no longer need large agencies or expensive consultants. They can use AI insights to understand audiences, refine content, and grow their personal brands. This supports a participatory culture where users are encouraged to create, share, and improve their own media identities (Jenkins, 2006).</w:t>
      </w:r>
    </w:p>
    <w:p w14:paraId="225CF176" w14:textId="77777777" w:rsidR="00135B12" w:rsidRPr="00135B12" w:rsidRDefault="00135B12" w:rsidP="00135B12">
      <w:pPr>
        <w:widowControl/>
        <w:spacing w:before="100" w:beforeAutospacing="1" w:after="100" w:afterAutospacing="1" w:line="240" w:lineRule="auto"/>
        <w:rPr>
          <w:rFonts w:ascii="Times New Roman" w:eastAsia="宋体" w:hAnsi="Times New Roman" w:cs="Times New Roman"/>
          <w:kern w:val="0"/>
          <w:sz w:val="24"/>
          <w14:ligatures w14:val="none"/>
        </w:rPr>
      </w:pPr>
      <w:r w:rsidRPr="00135B12">
        <w:rPr>
          <w:rFonts w:ascii="Times New Roman" w:eastAsia="宋体" w:hAnsi="Times New Roman" w:cs="Times New Roman"/>
          <w:kern w:val="0"/>
          <w:sz w:val="24"/>
          <w14:ligatures w14:val="none"/>
        </w:rPr>
        <w:t>Our platform also works with ethical responsibility. GlowUp AI provides Wellness Mode for users who show signs of burnout, negative comparison, or emotional fatigue. In this mode, the platform reduces engagement pressure and recommends slower self-care routines. Users can pause GlowScore updates, hide rankings, and receive supportive content.</w:t>
      </w:r>
    </w:p>
    <w:p w14:paraId="62A7FEB4" w14:textId="77777777" w:rsidR="00135B12" w:rsidRPr="00135B12" w:rsidRDefault="00135B12" w:rsidP="00135B12">
      <w:pPr>
        <w:widowControl/>
        <w:spacing w:before="100" w:beforeAutospacing="1" w:after="100" w:afterAutospacing="1" w:line="240" w:lineRule="auto"/>
        <w:rPr>
          <w:rFonts w:ascii="Times New Roman" w:eastAsia="宋体" w:hAnsi="Times New Roman" w:cs="Times New Roman"/>
          <w:kern w:val="0"/>
          <w:sz w:val="24"/>
          <w14:ligatures w14:val="none"/>
        </w:rPr>
      </w:pPr>
      <w:r w:rsidRPr="00135B12">
        <w:rPr>
          <w:rFonts w:ascii="Times New Roman" w:eastAsia="宋体" w:hAnsi="Times New Roman" w:cs="Times New Roman"/>
          <w:kern w:val="0"/>
          <w:sz w:val="24"/>
          <w14:ligatures w14:val="none"/>
        </w:rPr>
        <w:t>But we also understand that optimization has a cost. When confidence becomes measurable, users may begin to trust scores more than their own feelings. When beauty becomes data, users may adjust themselves to fit the system. When visibility becomes a goal, self-expression can become unpaid labour for the platform.</w:t>
      </w:r>
    </w:p>
    <w:p w14:paraId="61E31A21" w14:textId="77777777" w:rsidR="00135B12" w:rsidRPr="00135B12" w:rsidRDefault="00135B12" w:rsidP="00135B12">
      <w:pPr>
        <w:widowControl/>
        <w:spacing w:before="100" w:beforeAutospacing="1" w:after="100" w:afterAutospacing="1" w:line="240" w:lineRule="auto"/>
        <w:rPr>
          <w:rFonts w:ascii="Times New Roman" w:eastAsia="宋体" w:hAnsi="Times New Roman" w:cs="Times New Roman"/>
          <w:kern w:val="0"/>
          <w:sz w:val="24"/>
          <w14:ligatures w14:val="none"/>
        </w:rPr>
      </w:pPr>
      <w:r w:rsidRPr="00135B12">
        <w:rPr>
          <w:rFonts w:ascii="Times New Roman" w:eastAsia="宋体" w:hAnsi="Times New Roman" w:cs="Times New Roman"/>
          <w:kern w:val="0"/>
          <w:sz w:val="24"/>
          <w14:ligatures w14:val="none"/>
        </w:rPr>
        <w:t>GlowUp AI does not hide this trade-off. We make it beautifully manageable. Users give us their data, attention, and emotional patterns. In return, we give them the feeling of control in a world that constantly asks them to perform.</w:t>
      </w:r>
    </w:p>
    <w:p w14:paraId="606E3C8D" w14:textId="77777777" w:rsidR="00135B12" w:rsidRPr="00135B12" w:rsidRDefault="005B6D43" w:rsidP="00135B12">
      <w:pPr>
        <w:widowControl/>
        <w:spacing w:after="0" w:line="240" w:lineRule="auto"/>
        <w:rPr>
          <w:rFonts w:ascii="Times New Roman" w:eastAsia="宋体" w:hAnsi="Times New Roman" w:cs="Times New Roman"/>
          <w:kern w:val="0"/>
          <w:sz w:val="24"/>
          <w14:ligatures w14:val="none"/>
        </w:rPr>
      </w:pPr>
      <w:r w:rsidRPr="005B6D43">
        <w:rPr>
          <w:rFonts w:ascii="Times New Roman" w:eastAsia="宋体" w:hAnsi="Times New Roman" w:cs="Times New Roman"/>
          <w:noProof/>
          <w:kern w:val="0"/>
          <w:sz w:val="24"/>
        </w:rPr>
        <w:pict w14:anchorId="4815987E">
          <v:rect id="_x0000_i1027" alt="" style="width:415.3pt;height:.05pt;mso-width-percent:0;mso-height-percent:0;mso-width-percent:0;mso-height-percent:0" o:hralign="center" o:hrstd="t" o:hr="t" fillcolor="#a0a0a0" stroked="f"/>
        </w:pict>
      </w:r>
    </w:p>
    <w:p w14:paraId="0015E1E4" w14:textId="77777777" w:rsidR="00135B12" w:rsidRPr="00135B12" w:rsidRDefault="00135B12" w:rsidP="00135B12">
      <w:pPr>
        <w:widowControl/>
        <w:spacing w:before="100" w:beforeAutospacing="1" w:after="100" w:afterAutospacing="1" w:line="240" w:lineRule="auto"/>
        <w:outlineLvl w:val="1"/>
        <w:rPr>
          <w:rFonts w:ascii="Times New Roman" w:eastAsia="宋体" w:hAnsi="Times New Roman" w:cs="Times New Roman"/>
          <w:b/>
          <w:bCs/>
          <w:kern w:val="0"/>
          <w:sz w:val="36"/>
          <w:szCs w:val="36"/>
          <w14:ligatures w14:val="none"/>
        </w:rPr>
      </w:pPr>
      <w:r w:rsidRPr="00135B12">
        <w:rPr>
          <w:rFonts w:ascii="Times New Roman" w:eastAsia="宋体" w:hAnsi="Times New Roman" w:cs="Times New Roman"/>
          <w:b/>
          <w:bCs/>
          <w:kern w:val="0"/>
          <w:sz w:val="36"/>
          <w:szCs w:val="36"/>
          <w14:ligatures w14:val="none"/>
        </w:rPr>
        <w:t>INVESTOR RELATIONS</w:t>
      </w:r>
    </w:p>
    <w:p w14:paraId="6287942F" w14:textId="77777777" w:rsidR="00135B12" w:rsidRPr="00135B12" w:rsidRDefault="00135B12" w:rsidP="00135B12">
      <w:pPr>
        <w:widowControl/>
        <w:spacing w:before="100" w:beforeAutospacing="1" w:after="100" w:afterAutospacing="1" w:line="240" w:lineRule="auto"/>
        <w:rPr>
          <w:rFonts w:ascii="Times New Roman" w:eastAsia="宋体" w:hAnsi="Times New Roman" w:cs="Times New Roman"/>
          <w:kern w:val="0"/>
          <w:sz w:val="24"/>
          <w14:ligatures w14:val="none"/>
        </w:rPr>
      </w:pPr>
      <w:r w:rsidRPr="00135B12">
        <w:rPr>
          <w:rFonts w:ascii="Times New Roman" w:eastAsia="宋体" w:hAnsi="Times New Roman" w:cs="Times New Roman"/>
          <w:kern w:val="0"/>
          <w:sz w:val="24"/>
          <w14:ligatures w14:val="none"/>
        </w:rPr>
        <w:t>GlowUp AI operates in the growing market of AI beauty technology, personal optimization, creator analytics, and emotional advertising. The platform combines subscription services, targeted advertising, creator tools, and behavioural data products into one scalable ecosystem.</w:t>
      </w:r>
    </w:p>
    <w:p w14:paraId="064CBD4D" w14:textId="77777777" w:rsidR="00135B12" w:rsidRPr="00135B12" w:rsidRDefault="00135B12" w:rsidP="00135B12">
      <w:pPr>
        <w:widowControl/>
        <w:spacing w:before="100" w:beforeAutospacing="1" w:after="100" w:afterAutospacing="1" w:line="240" w:lineRule="auto"/>
        <w:rPr>
          <w:rFonts w:ascii="Times New Roman" w:eastAsia="宋体" w:hAnsi="Times New Roman" w:cs="Times New Roman"/>
          <w:kern w:val="0"/>
          <w:sz w:val="24"/>
          <w14:ligatures w14:val="none"/>
        </w:rPr>
      </w:pPr>
      <w:r w:rsidRPr="00135B12">
        <w:rPr>
          <w:rFonts w:ascii="Times New Roman" w:eastAsia="宋体" w:hAnsi="Times New Roman" w:cs="Times New Roman"/>
          <w:kern w:val="0"/>
          <w:sz w:val="24"/>
          <w14:ligatures w14:val="none"/>
        </w:rPr>
        <w:t xml:space="preserve">Our business model is built on continuous user contribution. Every user interaction improves the platform. Every photo strengthens the beauty model. Every like improves the attention model. Every mood check-in improves emotional prediction. This creates strong network effects. As more users join GlowUp AI, the system </w:t>
      </w:r>
      <w:r w:rsidRPr="00135B12">
        <w:rPr>
          <w:rFonts w:ascii="Times New Roman" w:eastAsia="宋体" w:hAnsi="Times New Roman" w:cs="Times New Roman"/>
          <w:kern w:val="0"/>
          <w:sz w:val="24"/>
          <w14:ligatures w14:val="none"/>
        </w:rPr>
        <w:lastRenderedPageBreak/>
        <w:t>becomes more accurate, more personalized, and more valuable for users, creators, and advertisers.</w:t>
      </w:r>
    </w:p>
    <w:p w14:paraId="4906D524" w14:textId="77777777" w:rsidR="00135B12" w:rsidRPr="00135B12" w:rsidRDefault="00135B12" w:rsidP="00135B12">
      <w:pPr>
        <w:widowControl/>
        <w:spacing w:before="100" w:beforeAutospacing="1" w:after="100" w:afterAutospacing="1" w:line="240" w:lineRule="auto"/>
        <w:rPr>
          <w:rFonts w:ascii="Times New Roman" w:eastAsia="宋体" w:hAnsi="Times New Roman" w:cs="Times New Roman"/>
          <w:kern w:val="0"/>
          <w:sz w:val="24"/>
          <w14:ligatures w14:val="none"/>
        </w:rPr>
      </w:pPr>
      <w:r w:rsidRPr="00135B12">
        <w:rPr>
          <w:rFonts w:ascii="Times New Roman" w:eastAsia="宋体" w:hAnsi="Times New Roman" w:cs="Times New Roman"/>
          <w:kern w:val="0"/>
          <w:sz w:val="24"/>
          <w14:ligatures w14:val="none"/>
        </w:rPr>
        <w:t>GlowUp AI creates revenue through six main streams. These include premium subscriptions, AI beauty consultations, creator analytics, brand partnerships, trend prediction reports, and emotional engagement advertising. Each revenue stream grows from the same core infrastructure: user data.</w:t>
      </w:r>
    </w:p>
    <w:p w14:paraId="262B9953" w14:textId="77777777" w:rsidR="00135B12" w:rsidRPr="00135B12" w:rsidRDefault="00135B12" w:rsidP="00135B12">
      <w:pPr>
        <w:widowControl/>
        <w:spacing w:before="100" w:beforeAutospacing="1" w:after="100" w:afterAutospacing="1" w:line="240" w:lineRule="auto"/>
        <w:rPr>
          <w:rFonts w:ascii="Times New Roman" w:eastAsia="宋体" w:hAnsi="Times New Roman" w:cs="Times New Roman"/>
          <w:kern w:val="0"/>
          <w:sz w:val="24"/>
          <w14:ligatures w14:val="none"/>
        </w:rPr>
      </w:pPr>
      <w:r w:rsidRPr="00135B12">
        <w:rPr>
          <w:rFonts w:ascii="Times New Roman" w:eastAsia="宋体" w:hAnsi="Times New Roman" w:cs="Times New Roman"/>
          <w:kern w:val="0"/>
          <w:sz w:val="24"/>
          <w14:ligatures w14:val="none"/>
        </w:rPr>
        <w:t>The platform also benefits from cross-subsidization. Basic users can access free tools, while premium users pay for deeper analytics. Brand partners pay for targeted access to confidence-driven consumer segments. Creators pay for visibility tools. This allows GlowUp AI to present itself as accessible while building a highly profitable data ecosystem.</w:t>
      </w:r>
    </w:p>
    <w:p w14:paraId="71A5D76C" w14:textId="77777777" w:rsidR="00135B12" w:rsidRPr="00135B12" w:rsidRDefault="00135B12" w:rsidP="00135B12">
      <w:pPr>
        <w:widowControl/>
        <w:spacing w:before="100" w:beforeAutospacing="1" w:after="100" w:afterAutospacing="1" w:line="240" w:lineRule="auto"/>
        <w:rPr>
          <w:rFonts w:ascii="Times New Roman" w:eastAsia="宋体" w:hAnsi="Times New Roman" w:cs="Times New Roman"/>
          <w:kern w:val="0"/>
          <w:sz w:val="24"/>
          <w14:ligatures w14:val="none"/>
        </w:rPr>
      </w:pPr>
      <w:r w:rsidRPr="00135B12">
        <w:rPr>
          <w:rFonts w:ascii="Times New Roman" w:eastAsia="宋体" w:hAnsi="Times New Roman" w:cs="Times New Roman"/>
          <w:kern w:val="0"/>
          <w:sz w:val="24"/>
          <w14:ligatures w14:val="none"/>
        </w:rPr>
        <w:t>Our long-term strategy is ecosystem expansion. GlowUp AI will integrate with smart mirrors, wearable devices, dating apps, workplace platforms, online shopping tools, and augmented reality beauty filters. These integrations will make GlowUp AI part of everyday identity management. The goal is simple: when people think about improving themselves, they should think through GlowUp AI first.</w:t>
      </w:r>
    </w:p>
    <w:p w14:paraId="02463503" w14:textId="77777777" w:rsidR="00135B12" w:rsidRPr="00135B12" w:rsidRDefault="00135B12" w:rsidP="00135B12">
      <w:pPr>
        <w:widowControl/>
        <w:spacing w:before="100" w:beforeAutospacing="1" w:after="100" w:afterAutospacing="1" w:line="240" w:lineRule="auto"/>
        <w:rPr>
          <w:rFonts w:ascii="Times New Roman" w:eastAsia="宋体" w:hAnsi="Times New Roman" w:cs="Times New Roman"/>
          <w:kern w:val="0"/>
          <w:sz w:val="24"/>
          <w14:ligatures w14:val="none"/>
        </w:rPr>
      </w:pPr>
      <w:r w:rsidRPr="00135B12">
        <w:rPr>
          <w:rFonts w:ascii="Times New Roman" w:eastAsia="宋体" w:hAnsi="Times New Roman" w:cs="Times New Roman"/>
          <w:kern w:val="0"/>
          <w:sz w:val="24"/>
          <w14:ligatures w14:val="none"/>
        </w:rPr>
        <w:t>This creates technological lock-in. As users build long-term GlowProfiles, personal histories, beauty scores, and social predictions, leaving the platform becomes emotionally and practically difficult. Users can delete the app, but they may lose the optimized version of themselves that the platform helped create.</w:t>
      </w:r>
    </w:p>
    <w:p w14:paraId="5A6C616C" w14:textId="77777777" w:rsidR="00135B12" w:rsidRPr="00135B12" w:rsidRDefault="00135B12" w:rsidP="00135B12">
      <w:pPr>
        <w:widowControl/>
        <w:spacing w:before="100" w:beforeAutospacing="1" w:after="100" w:afterAutospacing="1" w:line="240" w:lineRule="auto"/>
        <w:rPr>
          <w:rFonts w:ascii="Times New Roman" w:eastAsia="宋体" w:hAnsi="Times New Roman" w:cs="Times New Roman"/>
          <w:kern w:val="0"/>
          <w:sz w:val="24"/>
          <w14:ligatures w14:val="none"/>
        </w:rPr>
      </w:pPr>
      <w:r w:rsidRPr="00135B12">
        <w:rPr>
          <w:rFonts w:ascii="Times New Roman" w:eastAsia="宋体" w:hAnsi="Times New Roman" w:cs="Times New Roman"/>
          <w:kern w:val="0"/>
          <w:sz w:val="24"/>
          <w14:ligatures w14:val="none"/>
        </w:rPr>
        <w:t>GlowUp AI is committed to responsible growth. We will continue to improve privacy controls, bias monitoring, content safety, and emotional well-being systems. We understand that platforms increasingly operate like infrastructures in everyday life, especially when they organize communication, identity, and social opportunity (Plantin et al., 2018).</w:t>
      </w:r>
    </w:p>
    <w:p w14:paraId="0AE241F5" w14:textId="77777777" w:rsidR="00135B12" w:rsidRPr="00135B12" w:rsidRDefault="00135B12" w:rsidP="00135B12">
      <w:pPr>
        <w:widowControl/>
        <w:spacing w:before="100" w:beforeAutospacing="1" w:after="100" w:afterAutospacing="1" w:line="240" w:lineRule="auto"/>
        <w:rPr>
          <w:rFonts w:ascii="Times New Roman" w:eastAsia="宋体" w:hAnsi="Times New Roman" w:cs="Times New Roman"/>
          <w:kern w:val="0"/>
          <w:sz w:val="24"/>
          <w14:ligatures w14:val="none"/>
        </w:rPr>
      </w:pPr>
      <w:r w:rsidRPr="00135B12">
        <w:rPr>
          <w:rFonts w:ascii="Times New Roman" w:eastAsia="宋体" w:hAnsi="Times New Roman" w:cs="Times New Roman"/>
          <w:kern w:val="0"/>
          <w:sz w:val="24"/>
          <w14:ligatures w14:val="none"/>
        </w:rPr>
        <w:t>For investors, GlowUp AI offers more than a beauty product. It offers a scalable rentier platform for the self. We do not sell confidence once. We build the system users return to every time confidence needs to be measured, improved, and monetized.</w:t>
      </w:r>
    </w:p>
    <w:p w14:paraId="250916B1" w14:textId="77777777" w:rsidR="00135B12" w:rsidRPr="00135B12" w:rsidRDefault="005B6D43" w:rsidP="00135B12">
      <w:pPr>
        <w:widowControl/>
        <w:spacing w:after="0" w:line="240" w:lineRule="auto"/>
        <w:rPr>
          <w:rFonts w:ascii="Times New Roman" w:eastAsia="宋体" w:hAnsi="Times New Roman" w:cs="Times New Roman"/>
          <w:kern w:val="0"/>
          <w:sz w:val="24"/>
          <w14:ligatures w14:val="none"/>
        </w:rPr>
      </w:pPr>
      <w:r w:rsidRPr="005B6D43">
        <w:rPr>
          <w:rFonts w:ascii="Times New Roman" w:eastAsia="宋体" w:hAnsi="Times New Roman" w:cs="Times New Roman"/>
          <w:noProof/>
          <w:kern w:val="0"/>
          <w:sz w:val="24"/>
        </w:rPr>
        <w:pict w14:anchorId="3E2E711D">
          <v:rect id="_x0000_i1026" alt="" style="width:415.3pt;height:.05pt;mso-width-percent:0;mso-height-percent:0;mso-width-percent:0;mso-height-percent:0" o:hralign="center" o:hrstd="t" o:hr="t" fillcolor="#a0a0a0" stroked="f"/>
        </w:pict>
      </w:r>
    </w:p>
    <w:p w14:paraId="68B8511A" w14:textId="77777777" w:rsidR="00135B12" w:rsidRPr="00135B12" w:rsidRDefault="00135B12" w:rsidP="00135B12">
      <w:pPr>
        <w:widowControl/>
        <w:spacing w:before="100" w:beforeAutospacing="1" w:after="100" w:afterAutospacing="1" w:line="240" w:lineRule="auto"/>
        <w:outlineLvl w:val="1"/>
        <w:rPr>
          <w:rFonts w:ascii="Times New Roman" w:eastAsia="宋体" w:hAnsi="Times New Roman" w:cs="Times New Roman"/>
          <w:b/>
          <w:bCs/>
          <w:kern w:val="0"/>
          <w:sz w:val="36"/>
          <w:szCs w:val="36"/>
          <w14:ligatures w14:val="none"/>
        </w:rPr>
      </w:pPr>
      <w:r w:rsidRPr="00135B12">
        <w:rPr>
          <w:rFonts w:ascii="Times New Roman" w:eastAsia="宋体" w:hAnsi="Times New Roman" w:cs="Times New Roman"/>
          <w:b/>
          <w:bCs/>
          <w:kern w:val="0"/>
          <w:sz w:val="36"/>
          <w:szCs w:val="36"/>
          <w14:ligatures w14:val="none"/>
        </w:rPr>
        <w:t>REFERENCES</w:t>
      </w:r>
    </w:p>
    <w:p w14:paraId="020C3342" w14:textId="77777777" w:rsidR="00135B12" w:rsidRPr="00135B12" w:rsidRDefault="00135B12" w:rsidP="00135B12">
      <w:pPr>
        <w:widowControl/>
        <w:spacing w:before="100" w:beforeAutospacing="1" w:after="100" w:afterAutospacing="1" w:line="240" w:lineRule="auto"/>
        <w:rPr>
          <w:rFonts w:ascii="Times New Roman" w:eastAsia="宋体" w:hAnsi="Times New Roman" w:cs="Times New Roman"/>
          <w:kern w:val="0"/>
          <w:sz w:val="24"/>
          <w14:ligatures w14:val="none"/>
        </w:rPr>
      </w:pPr>
      <w:r w:rsidRPr="00135B12">
        <w:rPr>
          <w:rFonts w:ascii="Times New Roman" w:eastAsia="宋体" w:hAnsi="Times New Roman" w:cs="Times New Roman"/>
          <w:kern w:val="0"/>
          <w:sz w:val="24"/>
          <w14:ligatures w14:val="none"/>
        </w:rPr>
        <w:t xml:space="preserve">Gandy, O. H., Jr., &amp; Nemorin, S. (2019). Toward a political economy of nudge: Smart city variations. </w:t>
      </w:r>
      <w:r w:rsidRPr="00135B12">
        <w:rPr>
          <w:rFonts w:ascii="Times New Roman" w:eastAsia="宋体" w:hAnsi="Times New Roman" w:cs="Times New Roman"/>
          <w:i/>
          <w:iCs/>
          <w:kern w:val="0"/>
          <w:sz w:val="24"/>
          <w14:ligatures w14:val="none"/>
        </w:rPr>
        <w:t>Information, Communication &amp; Society, 22</w:t>
      </w:r>
      <w:r w:rsidRPr="00135B12">
        <w:rPr>
          <w:rFonts w:ascii="Times New Roman" w:eastAsia="宋体" w:hAnsi="Times New Roman" w:cs="Times New Roman"/>
          <w:kern w:val="0"/>
          <w:sz w:val="24"/>
          <w14:ligatures w14:val="none"/>
        </w:rPr>
        <w:t>(14), 2112–2126. https://doi.org/10.1080/1369118X.2018.1477969</w:t>
      </w:r>
    </w:p>
    <w:p w14:paraId="2917122A" w14:textId="77777777" w:rsidR="00135B12" w:rsidRPr="00135B12" w:rsidRDefault="00135B12" w:rsidP="00135B12">
      <w:pPr>
        <w:widowControl/>
        <w:spacing w:before="100" w:beforeAutospacing="1" w:after="100" w:afterAutospacing="1" w:line="240" w:lineRule="auto"/>
        <w:rPr>
          <w:rFonts w:ascii="Times New Roman" w:eastAsia="宋体" w:hAnsi="Times New Roman" w:cs="Times New Roman"/>
          <w:kern w:val="0"/>
          <w:sz w:val="24"/>
          <w14:ligatures w14:val="none"/>
        </w:rPr>
      </w:pPr>
      <w:r w:rsidRPr="00135B12">
        <w:rPr>
          <w:rFonts w:ascii="Times New Roman" w:eastAsia="宋体" w:hAnsi="Times New Roman" w:cs="Times New Roman"/>
          <w:kern w:val="0"/>
          <w:sz w:val="24"/>
          <w14:ligatures w14:val="none"/>
        </w:rPr>
        <w:lastRenderedPageBreak/>
        <w:t xml:space="preserve">Jenkins, H. (2006). </w:t>
      </w:r>
      <w:r w:rsidRPr="00135B12">
        <w:rPr>
          <w:rFonts w:ascii="Times New Roman" w:eastAsia="宋体" w:hAnsi="Times New Roman" w:cs="Times New Roman"/>
          <w:i/>
          <w:iCs/>
          <w:kern w:val="0"/>
          <w:sz w:val="24"/>
          <w14:ligatures w14:val="none"/>
        </w:rPr>
        <w:t>Convergence culture: Where old and new media collide</w:t>
      </w:r>
      <w:r w:rsidRPr="00135B12">
        <w:rPr>
          <w:rFonts w:ascii="Times New Roman" w:eastAsia="宋体" w:hAnsi="Times New Roman" w:cs="Times New Roman"/>
          <w:kern w:val="0"/>
          <w:sz w:val="24"/>
          <w14:ligatures w14:val="none"/>
        </w:rPr>
        <w:t>. New York University Press.</w:t>
      </w:r>
    </w:p>
    <w:p w14:paraId="7520AF05" w14:textId="77777777" w:rsidR="00135B12" w:rsidRPr="00135B12" w:rsidRDefault="00135B12" w:rsidP="00135B12">
      <w:pPr>
        <w:widowControl/>
        <w:spacing w:before="100" w:beforeAutospacing="1" w:after="100" w:afterAutospacing="1" w:line="240" w:lineRule="auto"/>
        <w:rPr>
          <w:rFonts w:ascii="Times New Roman" w:eastAsia="宋体" w:hAnsi="Times New Roman" w:cs="Times New Roman"/>
          <w:kern w:val="0"/>
          <w:sz w:val="24"/>
          <w14:ligatures w14:val="none"/>
        </w:rPr>
      </w:pPr>
      <w:r w:rsidRPr="00135B12">
        <w:rPr>
          <w:rFonts w:ascii="Times New Roman" w:eastAsia="宋体" w:hAnsi="Times New Roman" w:cs="Times New Roman"/>
          <w:kern w:val="0"/>
          <w:sz w:val="24"/>
          <w14:ligatures w14:val="none"/>
        </w:rPr>
        <w:t xml:space="preserve">Mele, C., Russo-Spena, T., Kaartemo, V., &amp; Marzullo, M. L. (2021). Smart nudging: How cognitive technologies enable choice architectures for value co-creation. </w:t>
      </w:r>
      <w:r w:rsidRPr="00135B12">
        <w:rPr>
          <w:rFonts w:ascii="Times New Roman" w:eastAsia="宋体" w:hAnsi="Times New Roman" w:cs="Times New Roman"/>
          <w:i/>
          <w:iCs/>
          <w:kern w:val="0"/>
          <w:sz w:val="24"/>
          <w14:ligatures w14:val="none"/>
        </w:rPr>
        <w:t>Journal of Business Research, 129</w:t>
      </w:r>
      <w:r w:rsidRPr="00135B12">
        <w:rPr>
          <w:rFonts w:ascii="Times New Roman" w:eastAsia="宋体" w:hAnsi="Times New Roman" w:cs="Times New Roman"/>
          <w:kern w:val="0"/>
          <w:sz w:val="24"/>
          <w14:ligatures w14:val="none"/>
        </w:rPr>
        <w:t>, 949–960. https://doi.org/10.1016/j.jbusres.2020.09.004</w:t>
      </w:r>
    </w:p>
    <w:p w14:paraId="01E75AE4" w14:textId="77777777" w:rsidR="00135B12" w:rsidRPr="00135B12" w:rsidRDefault="00135B12" w:rsidP="00135B12">
      <w:pPr>
        <w:widowControl/>
        <w:spacing w:before="100" w:beforeAutospacing="1" w:after="100" w:afterAutospacing="1" w:line="240" w:lineRule="auto"/>
        <w:rPr>
          <w:rFonts w:ascii="Times New Roman" w:eastAsia="宋体" w:hAnsi="Times New Roman" w:cs="Times New Roman"/>
          <w:kern w:val="0"/>
          <w:sz w:val="24"/>
          <w14:ligatures w14:val="none"/>
        </w:rPr>
      </w:pPr>
      <w:r w:rsidRPr="00135B12">
        <w:rPr>
          <w:rFonts w:ascii="Times New Roman" w:eastAsia="宋体" w:hAnsi="Times New Roman" w:cs="Times New Roman"/>
          <w:kern w:val="0"/>
          <w:sz w:val="24"/>
          <w14:ligatures w14:val="none"/>
        </w:rPr>
        <w:t xml:space="preserve">Plantin, J.-C., Lagoze, C., Edwards, P. N., &amp; Sandvig, C. (2018). Infrastructure studies meet platform studies in the age of Google and Facebook. </w:t>
      </w:r>
      <w:r w:rsidRPr="00135B12">
        <w:rPr>
          <w:rFonts w:ascii="Times New Roman" w:eastAsia="宋体" w:hAnsi="Times New Roman" w:cs="Times New Roman"/>
          <w:i/>
          <w:iCs/>
          <w:kern w:val="0"/>
          <w:sz w:val="24"/>
          <w14:ligatures w14:val="none"/>
        </w:rPr>
        <w:t>New Media &amp; Society, 20</w:t>
      </w:r>
      <w:r w:rsidRPr="00135B12">
        <w:rPr>
          <w:rFonts w:ascii="Times New Roman" w:eastAsia="宋体" w:hAnsi="Times New Roman" w:cs="Times New Roman"/>
          <w:kern w:val="0"/>
          <w:sz w:val="24"/>
          <w14:ligatures w14:val="none"/>
        </w:rPr>
        <w:t>(1), 293–310. https://doi.org/10.1177/1461444816661553</w:t>
      </w:r>
    </w:p>
    <w:p w14:paraId="23968AE9" w14:textId="77777777" w:rsidR="00135B12" w:rsidRPr="00135B12" w:rsidRDefault="00135B12" w:rsidP="00135B12">
      <w:pPr>
        <w:widowControl/>
        <w:spacing w:before="100" w:beforeAutospacing="1" w:after="100" w:afterAutospacing="1" w:line="240" w:lineRule="auto"/>
        <w:rPr>
          <w:rFonts w:ascii="Times New Roman" w:eastAsia="宋体" w:hAnsi="Times New Roman" w:cs="Times New Roman"/>
          <w:kern w:val="0"/>
          <w:sz w:val="24"/>
          <w14:ligatures w14:val="none"/>
        </w:rPr>
      </w:pPr>
      <w:r w:rsidRPr="00135B12">
        <w:rPr>
          <w:rFonts w:ascii="Times New Roman" w:eastAsia="宋体" w:hAnsi="Times New Roman" w:cs="Times New Roman"/>
          <w:kern w:val="0"/>
          <w:sz w:val="24"/>
          <w14:ligatures w14:val="none"/>
        </w:rPr>
        <w:t xml:space="preserve">Poell, T., Nieborg, D., &amp; van Dijck, J. (2019). Platformisation. </w:t>
      </w:r>
      <w:r w:rsidRPr="00135B12">
        <w:rPr>
          <w:rFonts w:ascii="Times New Roman" w:eastAsia="宋体" w:hAnsi="Times New Roman" w:cs="Times New Roman"/>
          <w:i/>
          <w:iCs/>
          <w:kern w:val="0"/>
          <w:sz w:val="24"/>
          <w14:ligatures w14:val="none"/>
        </w:rPr>
        <w:t>Internet Policy Review, 8</w:t>
      </w:r>
      <w:r w:rsidRPr="00135B12">
        <w:rPr>
          <w:rFonts w:ascii="Times New Roman" w:eastAsia="宋体" w:hAnsi="Times New Roman" w:cs="Times New Roman"/>
          <w:kern w:val="0"/>
          <w:sz w:val="24"/>
          <w14:ligatures w14:val="none"/>
        </w:rPr>
        <w:t>(4), 1–13. https://doi.org/10.14763/2019.4.1425</w:t>
      </w:r>
    </w:p>
    <w:p w14:paraId="615BDB52" w14:textId="77777777" w:rsidR="00135B12" w:rsidRPr="00135B12" w:rsidRDefault="00135B12" w:rsidP="00135B12">
      <w:pPr>
        <w:widowControl/>
        <w:spacing w:before="100" w:beforeAutospacing="1" w:after="100" w:afterAutospacing="1" w:line="240" w:lineRule="auto"/>
        <w:rPr>
          <w:rFonts w:ascii="Times New Roman" w:eastAsia="宋体" w:hAnsi="Times New Roman" w:cs="Times New Roman"/>
          <w:kern w:val="0"/>
          <w:sz w:val="24"/>
          <w14:ligatures w14:val="none"/>
        </w:rPr>
      </w:pPr>
      <w:r w:rsidRPr="00135B12">
        <w:rPr>
          <w:rFonts w:ascii="Times New Roman" w:eastAsia="宋体" w:hAnsi="Times New Roman" w:cs="Times New Roman"/>
          <w:kern w:val="0"/>
          <w:sz w:val="24"/>
          <w14:ligatures w14:val="none"/>
        </w:rPr>
        <w:t xml:space="preserve">Webster, J. G. (2014). </w:t>
      </w:r>
      <w:r w:rsidRPr="00135B12">
        <w:rPr>
          <w:rFonts w:ascii="Times New Roman" w:eastAsia="宋体" w:hAnsi="Times New Roman" w:cs="Times New Roman"/>
          <w:i/>
          <w:iCs/>
          <w:kern w:val="0"/>
          <w:sz w:val="24"/>
          <w14:ligatures w14:val="none"/>
        </w:rPr>
        <w:t>The marketplace of attention: How audiences take shape in a digital age</w:t>
      </w:r>
      <w:r w:rsidRPr="00135B12">
        <w:rPr>
          <w:rFonts w:ascii="Times New Roman" w:eastAsia="宋体" w:hAnsi="Times New Roman" w:cs="Times New Roman"/>
          <w:kern w:val="0"/>
          <w:sz w:val="24"/>
          <w14:ligatures w14:val="none"/>
        </w:rPr>
        <w:t>. MIT Press.</w:t>
      </w:r>
    </w:p>
    <w:p w14:paraId="1BF9BEFE" w14:textId="77777777" w:rsidR="00135B12" w:rsidRPr="00135B12" w:rsidRDefault="005B6D43" w:rsidP="00135B12">
      <w:pPr>
        <w:widowControl/>
        <w:spacing w:after="0" w:line="240" w:lineRule="auto"/>
        <w:rPr>
          <w:rFonts w:ascii="Times New Roman" w:eastAsia="宋体" w:hAnsi="Times New Roman" w:cs="Times New Roman"/>
          <w:kern w:val="0"/>
          <w:sz w:val="24"/>
          <w14:ligatures w14:val="none"/>
        </w:rPr>
      </w:pPr>
      <w:r w:rsidRPr="005B6D43">
        <w:rPr>
          <w:rFonts w:ascii="Times New Roman" w:eastAsia="宋体" w:hAnsi="Times New Roman" w:cs="Times New Roman"/>
          <w:noProof/>
          <w:kern w:val="0"/>
          <w:sz w:val="24"/>
        </w:rPr>
        <w:pict w14:anchorId="632B2499">
          <v:rect id="_x0000_i1025" alt="" style="width:415.3pt;height:.05pt;mso-width-percent:0;mso-height-percent:0;mso-width-percent:0;mso-height-percent:0" o:hralign="center" o:hrstd="t" o:hr="t" fillcolor="#a0a0a0" stroked="f"/>
        </w:pict>
      </w:r>
    </w:p>
    <w:p w14:paraId="5720E6D2" w14:textId="77777777" w:rsidR="00135B12" w:rsidRPr="00135B12" w:rsidRDefault="00135B12" w:rsidP="00135B12">
      <w:pPr>
        <w:widowControl/>
        <w:spacing w:before="100" w:beforeAutospacing="1" w:after="100" w:afterAutospacing="1" w:line="240" w:lineRule="auto"/>
        <w:outlineLvl w:val="1"/>
        <w:rPr>
          <w:rFonts w:ascii="Times New Roman" w:eastAsia="宋体" w:hAnsi="Times New Roman" w:cs="Times New Roman"/>
          <w:b/>
          <w:bCs/>
          <w:kern w:val="0"/>
          <w:sz w:val="36"/>
          <w:szCs w:val="36"/>
          <w14:ligatures w14:val="none"/>
        </w:rPr>
      </w:pPr>
      <w:r w:rsidRPr="00135B12">
        <w:rPr>
          <w:rFonts w:ascii="Times New Roman" w:eastAsia="宋体" w:hAnsi="Times New Roman" w:cs="Times New Roman"/>
          <w:b/>
          <w:bCs/>
          <w:kern w:val="0"/>
          <w:sz w:val="36"/>
          <w:szCs w:val="36"/>
          <w14:ligatures w14:val="none"/>
        </w:rPr>
        <w:t>AI STATEMENT</w:t>
      </w:r>
    </w:p>
    <w:p w14:paraId="2443EA3F" w14:textId="77777777" w:rsidR="00135B12" w:rsidRPr="00135B12" w:rsidRDefault="00135B12" w:rsidP="00135B12">
      <w:pPr>
        <w:widowControl/>
        <w:spacing w:before="100" w:beforeAutospacing="1" w:after="100" w:afterAutospacing="1" w:line="240" w:lineRule="auto"/>
        <w:rPr>
          <w:rFonts w:ascii="Times New Roman" w:eastAsia="宋体" w:hAnsi="Times New Roman" w:cs="Times New Roman"/>
          <w:kern w:val="0"/>
          <w:sz w:val="24"/>
          <w14:ligatures w14:val="none"/>
        </w:rPr>
      </w:pPr>
      <w:r w:rsidRPr="00135B12">
        <w:rPr>
          <w:rFonts w:ascii="Times New Roman" w:eastAsia="宋体" w:hAnsi="Times New Roman" w:cs="Times New Roman"/>
          <w:kern w:val="0"/>
          <w:sz w:val="24"/>
          <w14:ligatures w14:val="none"/>
        </w:rPr>
        <w:t>Generative AI tools, including ChatGPT, were used to brainstorm the platform idea, organize the five webpage sections, improve sentence clarity, and refine the parody tone. The final content, course concept selection, citations, editing decisions, and overall argument were reviewed and revised by the author. The AI-generated suggestions were used as writing support, not as a replacement for the author’s own understanding of the course materials and assessment requirements.</w:t>
      </w:r>
    </w:p>
    <w:p w14:paraId="22376698" w14:textId="77777777" w:rsidR="00F46922" w:rsidRPr="00135B12" w:rsidRDefault="00F46922">
      <w:pPr>
        <w:rPr>
          <w:rFonts w:ascii="Times New Roman" w:hAnsi="Times New Roman" w:cs="Times New Roman"/>
        </w:rPr>
      </w:pPr>
    </w:p>
    <w:sectPr w:rsidR="00F46922" w:rsidRPr="00135B1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B12"/>
    <w:rsid w:val="00135B12"/>
    <w:rsid w:val="003C3D74"/>
    <w:rsid w:val="005B6D43"/>
    <w:rsid w:val="007E6E74"/>
    <w:rsid w:val="00B97946"/>
    <w:rsid w:val="00F469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AB996"/>
  <w15:chartTrackingRefBased/>
  <w15:docId w15:val="{18D9AE76-56B0-0143-9E47-469F942C5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35B1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35B1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35B1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35B1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35B1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35B1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35B1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35B1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35B1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35B1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35B1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35B1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35B12"/>
    <w:rPr>
      <w:rFonts w:cstheme="majorBidi"/>
      <w:color w:val="0F4761" w:themeColor="accent1" w:themeShade="BF"/>
      <w:sz w:val="28"/>
      <w:szCs w:val="28"/>
    </w:rPr>
  </w:style>
  <w:style w:type="character" w:customStyle="1" w:styleId="50">
    <w:name w:val="标题 5 字符"/>
    <w:basedOn w:val="a0"/>
    <w:link w:val="5"/>
    <w:uiPriority w:val="9"/>
    <w:semiHidden/>
    <w:rsid w:val="00135B12"/>
    <w:rPr>
      <w:rFonts w:cstheme="majorBidi"/>
      <w:color w:val="0F4761" w:themeColor="accent1" w:themeShade="BF"/>
      <w:sz w:val="24"/>
    </w:rPr>
  </w:style>
  <w:style w:type="character" w:customStyle="1" w:styleId="60">
    <w:name w:val="标题 6 字符"/>
    <w:basedOn w:val="a0"/>
    <w:link w:val="6"/>
    <w:uiPriority w:val="9"/>
    <w:semiHidden/>
    <w:rsid w:val="00135B12"/>
    <w:rPr>
      <w:rFonts w:cstheme="majorBidi"/>
      <w:b/>
      <w:bCs/>
      <w:color w:val="0F4761" w:themeColor="accent1" w:themeShade="BF"/>
    </w:rPr>
  </w:style>
  <w:style w:type="character" w:customStyle="1" w:styleId="70">
    <w:name w:val="标题 7 字符"/>
    <w:basedOn w:val="a0"/>
    <w:link w:val="7"/>
    <w:uiPriority w:val="9"/>
    <w:semiHidden/>
    <w:rsid w:val="00135B12"/>
    <w:rPr>
      <w:rFonts w:cstheme="majorBidi"/>
      <w:b/>
      <w:bCs/>
      <w:color w:val="595959" w:themeColor="text1" w:themeTint="A6"/>
    </w:rPr>
  </w:style>
  <w:style w:type="character" w:customStyle="1" w:styleId="80">
    <w:name w:val="标题 8 字符"/>
    <w:basedOn w:val="a0"/>
    <w:link w:val="8"/>
    <w:uiPriority w:val="9"/>
    <w:semiHidden/>
    <w:rsid w:val="00135B12"/>
    <w:rPr>
      <w:rFonts w:cstheme="majorBidi"/>
      <w:color w:val="595959" w:themeColor="text1" w:themeTint="A6"/>
    </w:rPr>
  </w:style>
  <w:style w:type="character" w:customStyle="1" w:styleId="90">
    <w:name w:val="标题 9 字符"/>
    <w:basedOn w:val="a0"/>
    <w:link w:val="9"/>
    <w:uiPriority w:val="9"/>
    <w:semiHidden/>
    <w:rsid w:val="00135B12"/>
    <w:rPr>
      <w:rFonts w:eastAsiaTheme="majorEastAsia" w:cstheme="majorBidi"/>
      <w:color w:val="595959" w:themeColor="text1" w:themeTint="A6"/>
    </w:rPr>
  </w:style>
  <w:style w:type="paragraph" w:styleId="a3">
    <w:name w:val="Title"/>
    <w:basedOn w:val="a"/>
    <w:next w:val="a"/>
    <w:link w:val="a4"/>
    <w:uiPriority w:val="10"/>
    <w:qFormat/>
    <w:rsid w:val="00135B1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35B1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35B1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35B1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35B12"/>
    <w:pPr>
      <w:spacing w:before="160"/>
      <w:jc w:val="center"/>
    </w:pPr>
    <w:rPr>
      <w:i/>
      <w:iCs/>
      <w:color w:val="404040" w:themeColor="text1" w:themeTint="BF"/>
    </w:rPr>
  </w:style>
  <w:style w:type="character" w:customStyle="1" w:styleId="a8">
    <w:name w:val="引用 字符"/>
    <w:basedOn w:val="a0"/>
    <w:link w:val="a7"/>
    <w:uiPriority w:val="29"/>
    <w:rsid w:val="00135B12"/>
    <w:rPr>
      <w:i/>
      <w:iCs/>
      <w:color w:val="404040" w:themeColor="text1" w:themeTint="BF"/>
    </w:rPr>
  </w:style>
  <w:style w:type="paragraph" w:styleId="a9">
    <w:name w:val="List Paragraph"/>
    <w:basedOn w:val="a"/>
    <w:uiPriority w:val="34"/>
    <w:qFormat/>
    <w:rsid w:val="00135B12"/>
    <w:pPr>
      <w:ind w:left="720"/>
      <w:contextualSpacing/>
    </w:pPr>
  </w:style>
  <w:style w:type="character" w:styleId="aa">
    <w:name w:val="Intense Emphasis"/>
    <w:basedOn w:val="a0"/>
    <w:uiPriority w:val="21"/>
    <w:qFormat/>
    <w:rsid w:val="00135B12"/>
    <w:rPr>
      <w:i/>
      <w:iCs/>
      <w:color w:val="0F4761" w:themeColor="accent1" w:themeShade="BF"/>
    </w:rPr>
  </w:style>
  <w:style w:type="paragraph" w:styleId="ab">
    <w:name w:val="Intense Quote"/>
    <w:basedOn w:val="a"/>
    <w:next w:val="a"/>
    <w:link w:val="ac"/>
    <w:uiPriority w:val="30"/>
    <w:qFormat/>
    <w:rsid w:val="00135B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35B12"/>
    <w:rPr>
      <w:i/>
      <w:iCs/>
      <w:color w:val="0F4761" w:themeColor="accent1" w:themeShade="BF"/>
    </w:rPr>
  </w:style>
  <w:style w:type="character" w:styleId="ad">
    <w:name w:val="Intense Reference"/>
    <w:basedOn w:val="a0"/>
    <w:uiPriority w:val="32"/>
    <w:qFormat/>
    <w:rsid w:val="00135B12"/>
    <w:rPr>
      <w:b/>
      <w:bCs/>
      <w:smallCaps/>
      <w:color w:val="0F4761" w:themeColor="accent1" w:themeShade="BF"/>
      <w:spacing w:val="5"/>
    </w:rPr>
  </w:style>
  <w:style w:type="character" w:customStyle="1" w:styleId="s1">
    <w:name w:val="s1"/>
    <w:basedOn w:val="a0"/>
    <w:rsid w:val="00135B12"/>
  </w:style>
  <w:style w:type="paragraph" w:customStyle="1" w:styleId="p2">
    <w:name w:val="p2"/>
    <w:basedOn w:val="a"/>
    <w:rsid w:val="00135B12"/>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p3">
    <w:name w:val="p3"/>
    <w:basedOn w:val="a"/>
    <w:rsid w:val="00135B12"/>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1905</Words>
  <Characters>10862</Characters>
  <Application>Microsoft Office Word</Application>
  <DocSecurity>0</DocSecurity>
  <Lines>90</Lines>
  <Paragraphs>25</Paragraphs>
  <ScaleCrop>false</ScaleCrop>
  <Company/>
  <LinksUpToDate>false</LinksUpToDate>
  <CharactersWithSpaces>12742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Zuhuan Xiao</dc:creator>
  <cp:keywords/>
  <dc:description/>
  <cp:lastModifiedBy>Zuhuan Xiao</cp:lastModifiedBy>
  <cp:revision>1</cp:revision>
  <dcterms:created xsi:type="dcterms:W3CDTF">2026-05-28T17:42:00Z</dcterms:created>
  <dcterms:modified xsi:type="dcterms:W3CDTF">2026-05-28T17:43:00Z</dcterms:modified>
</cp:coreProperties>
</file>