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1F3864"/>
          <w:sz w:val="56"/>
          <w:szCs w:val="56"/>
        </w:rPr>
        <w:t xml:space="preserve">OPERATION CANDLELIGHT</w:t>
      </w:r>
    </w:p>
    <w:p>
      <w:pPr>
        <w:spacing w:after="600"/>
        <w:jc w:val="center"/>
      </w:pPr>
      <w:r>
        <w:rPr>
          <w:rFonts w:ascii="Times New Roman" w:cs="Times New Roman" w:eastAsia="Times New Roman" w:hAnsi="Times New Roman"/>
          <w:i/>
          <w:iCs/>
          <w:color w:val="595959"/>
          <w:sz w:val="36"/>
          <w:szCs w:val="36"/>
        </w:rPr>
        <w:t xml:space="preserve">Application Security Assessment &amp; Remediation</w:t>
      </w:r>
    </w:p>
    <w:p>
      <w:pPr>
        <w:spacing w:after="100"/>
        <w:jc w:val="center"/>
      </w:pPr>
      <w:r>
        <w:rPr>
          <w:rFonts w:ascii="Times New Roman" w:cs="Times New Roman" w:eastAsia="Times New Roman" w:hAnsi="Times New Roman"/>
          <w:b/>
          <w:bCs/>
          <w:sz w:val="30"/>
          <w:szCs w:val="30"/>
        </w:rPr>
        <w:t xml:space="preserve">Board Report</w:t>
      </w:r>
    </w:p>
    <w:p>
      <w:pPr>
        <w:spacing w:after="1600"/>
        <w:jc w:val="center"/>
      </w:pPr>
      <w:r>
        <w:rPr>
          <w:rFonts w:ascii="Times New Roman" w:cs="Times New Roman" w:eastAsia="Times New Roman" w:hAnsi="Times New Roman"/>
          <w:color w:val="595959"/>
          <w:sz w:val="24"/>
          <w:szCs w:val="24"/>
        </w:rPr>
        <w:t xml:space="preserve">Subject: Birthday Memory (self-hosted fork)</w:t>
      </w:r>
    </w:p>
    <w:p>
      <w:pPr>
        <w:spacing w:after="60"/>
        <w:jc w:val="center"/>
      </w:pPr>
      <w:r>
        <w:rPr>
          <w:rFonts w:ascii="Times New Roman" w:cs="Times New Roman" w:eastAsia="Times New Roman" w:hAnsi="Times New Roman"/>
          <w:b/>
          <w:bCs/>
          <w:sz w:val="24"/>
          <w:szCs w:val="24"/>
        </w:rPr>
        <w:t xml:space="preserve">Prepared by Alec</w:t>
      </w:r>
    </w:p>
    <w:p>
      <w:pPr>
        <w:spacing w:after="60"/>
        <w:jc w:val="center"/>
      </w:pPr>
      <w:r>
        <w:rPr>
          <w:rFonts w:ascii="Times New Roman" w:cs="Times New Roman" w:eastAsia="Times New Roman" w:hAnsi="Times New Roman"/>
          <w:sz w:val="24"/>
          <w:szCs w:val="24"/>
        </w:rPr>
        <w:t xml:space="preserve">CYBR 4550 — Threat Actors</w:t>
      </w:r>
    </w:p>
    <w:p>
      <w:pPr>
        <w:spacing w:after="60"/>
        <w:jc w:val="center"/>
      </w:pPr>
      <w:r>
        <w:rPr>
          <w:rFonts w:ascii="Times New Roman" w:cs="Times New Roman" w:eastAsia="Times New Roman" w:hAnsi="Times New Roman"/>
          <w:sz w:val="24"/>
          <w:szCs w:val="24"/>
        </w:rPr>
        <w:t xml:space="preserve">Utah Valley University</w:t>
      </w:r>
    </w:p>
    <w:p>
      <w:pPr>
        <w:spacing w:after="60"/>
        <w:jc w:val="center"/>
      </w:pPr>
      <w:r>
        <w:rPr>
          <w:rFonts w:ascii="Times New Roman" w:cs="Times New Roman" w:eastAsia="Times New Roman" w:hAnsi="Times New Roman"/>
          <w:sz w:val="24"/>
          <w:szCs w:val="24"/>
        </w:rPr>
        <w:t xml:space="preserve">September 22, 2026</w:t>
      </w:r>
    </w:p>
    <w:p>
      <w:pPr>
        <w:spacing w:before="1600"/>
        <w:jc w:val="center"/>
      </w:pPr>
      <w:r>
        <w:rPr>
          <w:rFonts w:ascii="Times New Roman" w:cs="Times New Roman" w:eastAsia="Times New Roman" w:hAnsi="Times New Roman"/>
          <w:i/>
          <w:iCs/>
          <w:sz w:val="24"/>
          <w:szCs w:val="24"/>
        </w:rPr>
        <w:t xml:space="preserve">Track B — Application Security (Remediation)</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Executive Summary</w:t>
      </w:r>
    </w:p>
    <w:p>
      <w:pPr>
        <w:spacing w:after="160"/>
      </w:pPr>
      <w:r>
        <w:rPr>
          <w:rFonts w:ascii="Times New Roman" w:cs="Times New Roman" w:eastAsia="Times New Roman" w:hAnsi="Times New Roman"/>
          <w:sz w:val="24"/>
          <w:szCs w:val="24"/>
        </w:rPr>
        <w:t xml:space="preserve">This report documents a hands-on application security assessment of "Birthday Memory," an internal contact-and-birthday tracking tool storing full name, date of birth, phone number, and email address for every person entered. The assessment followed a strict test-first discipline: no finding in this report is asserted from a code read alone — every vulnerability described was proven with a live, reproducible test before it was fixed, and every fix was verified with a live "after" test before being reported as resolved.</w:t>
      </w:r>
    </w:p>
    <w:p>
      <w:pPr>
        <w:spacing w:after="160"/>
      </w:pPr>
      <w:r>
        <w:rPr>
          <w:rFonts w:ascii="Times New Roman" w:cs="Times New Roman" w:eastAsia="Times New Roman" w:hAnsi="Times New Roman"/>
          <w:sz w:val="24"/>
          <w:szCs w:val="24"/>
        </w:rPr>
        <w:t xml:space="preserve">The starting state was severe. Every record-management endpoint on the API required zero credentials — any device on the network could read, create, edit, or delete the entire dataset with a single command. The database itself used a hardcoded, guessable credential pair that was tracked in the public source repository, and that credential was reachable not just from the application server but from any other device on the local network. None of this required specialized attacker tooling; a single curl command or a database client pointed at the right port was sufficient.</w:t>
      </w:r>
    </w:p>
    <w:p>
      <w:pPr>
        <w:spacing w:after="160"/>
      </w:pPr>
      <w:r>
        <w:rPr>
          <w:rFonts w:ascii="Times New Roman" w:cs="Times New Roman" w:eastAsia="Times New Roman" w:hAnsi="Times New Roman"/>
          <w:sz w:val="24"/>
          <w:szCs w:val="24"/>
        </w:rPr>
        <w:t xml:space="preserve">All identified issues across three domains — the API, the database, and the container runtime — have been remediated and independently re-verified. The most severe finding (unauthenticated access to the entire dataset) is fully closed: every data-modifying and data-reading endpoint now requires an authenticated session, backed by industry-standard password hashing and signed session tokens. The database no longer uses guessable credentials, and the network exposure that made those credentials reachable beyond the local machine has been closed. Twenty-one automated regression tests now run against this stack to catch any future regression of these fixes.</w:t>
      </w:r>
    </w:p>
    <w:p>
      <w:pPr>
        <w:spacing w:after="160"/>
      </w:pPr>
      <w:r>
        <w:rPr>
          <w:rFonts w:ascii="Times New Roman" w:cs="Times New Roman" w:eastAsia="Times New Roman" w:hAnsi="Times New Roman"/>
          <w:sz w:val="24"/>
          <w:szCs w:val="24"/>
        </w:rPr>
        <w:t xml:space="preserve">One widely-assumed vulnerability class — SQL injection via the search filter — was directly tested, both before and after remediation, and confirmed not exploitable. This is reported as a negative finding rather than left untested, consistent with this assessment’s standard of reporting only what was proven.</w:t>
      </w:r>
    </w:p>
    <w:p>
      <w:pPr>
        <w:spacing w:after="160"/>
      </w:pPr>
      <w:r>
        <w:rPr>
          <w:rFonts w:ascii="Times New Roman" w:cs="Times New Roman" w:eastAsia="Times New Roman" w:hAnsi="Times New Roman"/>
          <w:sz w:val="24"/>
          <w:szCs w:val="24"/>
        </w:rPr>
        <w:t xml:space="preserve">A small number of deeper architectural risks were identified, evaluated, and deliberately not remediated in this pass — for example, database-level privilege separation and encryption of PII at rest. Each is documented with explicit reasoning in the Residual Risk section of this report, rather than silently left out. Recommendations for closing these are included.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00000" w:sz="4"/>
              <w:left w:val="single" w:color="C00000" w:sz="24"/>
              <w:bottom w:val="single" w:color="C00000" w:sz="4"/>
              <w:right w:val="single" w:color="C00000" w:sz="4"/>
            </w:tcBorders>
            <w:shd w:fill="FFF2F2" w:val="clear"/>
            <w:tcMar>
              <w:top w:type="dxa" w:w="120"/>
              <w:left w:type="dxa" w:w="200"/>
              <w:bottom w:type="dxa" w:w="120"/>
              <w:right w:type="dxa" w:w="160"/>
            </w:tcMar>
          </w:tcPr>
          <w:p>
            <w:pPr>
              <w:spacing w:after="60"/>
            </w:pPr>
            <w:r>
              <w:rPr>
                <w:rFonts w:ascii="Times New Roman" w:cs="Times New Roman" w:eastAsia="Times New Roman" w:hAnsi="Times New Roman"/>
                <w:b/>
                <w:bCs/>
                <w:color w:val="C00000"/>
                <w:sz w:val="24"/>
                <w:szCs w:val="24"/>
              </w:rPr>
              <w:t xml:space="preserve">Bottom line for the board: </w:t>
            </w:r>
          </w:p>
          <w:p>
            <w:r>
              <w:rPr>
                <w:rFonts w:ascii="Times New Roman" w:cs="Times New Roman" w:eastAsia="Times New Roman" w:hAnsi="Times New Roman"/>
                <w:sz w:val="24"/>
                <w:szCs w:val="24"/>
              </w:rPr>
              <w:t xml:space="preserve">The critical, easily-exploitable gap — a completely open API sitting in front of personally identifiable information — has been closed and independently verified. Remaining risk is limited to defense-in-depth items that reduce the impact of a future compromise rather than an active, currently-exploitable path to the data.</w:t>
            </w:r>
          </w:p>
        </w:tc>
      </w:tr>
    </w:tbl>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Scope &amp; Rules of Engagement</w:t>
      </w:r>
    </w:p>
    <w:p>
      <w:pPr>
        <w:spacing w:after="160"/>
      </w:pPr>
      <w:r>
        <w:rPr>
          <w:rFonts w:ascii="Times New Roman" w:cs="Times New Roman" w:eastAsia="Times New Roman" w:hAnsi="Times New Roman"/>
          <w:sz w:val="24"/>
          <w:szCs w:val="24"/>
        </w:rPr>
        <w:t xml:space="preserve">This assessment was conducted under a strict, self-imposed set of boundaries, consistent with responsible testing practice:</w:t>
      </w:r>
    </w:p>
    <w:p>
      <w:pPr>
        <w:pStyle w:val="ListParagraph"/>
        <w:numPr>
          <w:ilvl w:val="0"/>
          <w:numId w:val="2"/>
        </w:numPr>
        <w:spacing w:after="80"/>
      </w:pPr>
      <w:r>
        <w:rPr>
          <w:rFonts w:ascii="Times New Roman" w:cs="Times New Roman" w:eastAsia="Times New Roman" w:hAnsi="Times New Roman"/>
          <w:sz w:val="24"/>
          <w:szCs w:val="24"/>
        </w:rPr>
        <w:t xml:space="preserve">Only a personal fork of the application, running entirely on the assessor’s own machine, was in scope.</w:t>
      </w:r>
    </w:p>
    <w:p>
      <w:pPr>
        <w:pStyle w:val="ListParagraph"/>
        <w:numPr>
          <w:ilvl w:val="0"/>
          <w:numId w:val="2"/>
        </w:numPr>
        <w:spacing w:after="80"/>
      </w:pPr>
      <w:r>
        <w:rPr>
          <w:rFonts w:ascii="Times New Roman" w:cs="Times New Roman" w:eastAsia="Times New Roman" w:hAnsi="Times New Roman"/>
          <w:sz w:val="24"/>
          <w:szCs w:val="24"/>
        </w:rPr>
        <w:t xml:space="preserve">Only Docker containers built and run on the assessor’s own Docker daemon were used — no instructor infrastructure, classmate systems, or shared network hosts were touched.</w:t>
      </w:r>
    </w:p>
    <w:p>
      <w:pPr>
        <w:pStyle w:val="ListParagraph"/>
        <w:numPr>
          <w:ilvl w:val="0"/>
          <w:numId w:val="2"/>
        </w:numPr>
        <w:spacing w:after="80"/>
      </w:pPr>
      <w:r>
        <w:rPr>
          <w:rFonts w:ascii="Times New Roman" w:cs="Times New Roman" w:eastAsia="Times New Roman" w:hAnsi="Times New Roman"/>
          <w:sz w:val="24"/>
          <w:szCs w:val="24"/>
        </w:rPr>
        <w:t xml:space="preserve">The application and database were bound to localhost/127.0.0.1 throughout and were never exposed to the public internet (no tunneling, no port forwarding, no cloud deployment).</w:t>
      </w:r>
    </w:p>
    <w:p>
      <w:pPr>
        <w:pStyle w:val="ListParagraph"/>
        <w:numPr>
          <w:ilvl w:val="0"/>
          <w:numId w:val="2"/>
        </w:numPr>
        <w:spacing w:after="80"/>
      </w:pPr>
      <w:r>
        <w:rPr>
          <w:rFonts w:ascii="Times New Roman" w:cs="Times New Roman" w:eastAsia="Times New Roman" w:hAnsi="Times New Roman"/>
          <w:sz w:val="24"/>
          <w:szCs w:val="24"/>
        </w:rPr>
        <w:t xml:space="preserve">The database was seeded exclusively with synthetic, fictional data (e.g., historical-figure names as placeholders). No real personal information belonging to the assessor, their family, or any third party was ever entered.</w:t>
      </w:r>
    </w:p>
    <w:p>
      <w:pPr>
        <w:pStyle w:val="ListParagraph"/>
        <w:numPr>
          <w:ilvl w:val="0"/>
          <w:numId w:val="2"/>
        </w:numPr>
        <w:spacing w:after="80"/>
      </w:pPr>
      <w:r>
        <w:rPr>
          <w:rFonts w:ascii="Times New Roman" w:cs="Times New Roman" w:eastAsia="Times New Roman" w:hAnsi="Times New Roman"/>
          <w:sz w:val="24"/>
          <w:szCs w:val="24"/>
        </w:rPr>
        <w:t xml:space="preserve">Availability testing was limited to demonstrating the existence of a condition (e.g., an unbounded query, a missing rate limit) with small, controlled requests — not sustained load or volumetric testing.</w:t>
      </w:r>
    </w:p>
    <w:p>
      <w:pPr>
        <w:pStyle w:val="ListParagraph"/>
        <w:numPr>
          <w:ilvl w:val="0"/>
          <w:numId w:val="2"/>
        </w:numPr>
        <w:spacing w:after="80"/>
      </w:pPr>
      <w:r>
        <w:rPr>
          <w:rFonts w:ascii="Times New Roman" w:cs="Times New Roman" w:eastAsia="Times New Roman" w:hAnsi="Times New Roman"/>
          <w:sz w:val="24"/>
          <w:szCs w:val="24"/>
        </w:rPr>
        <w:t xml:space="preserve">Every finding in this report was tested and proven before being reported; none are reported on the basis of assumption.</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Methodology</w:t>
      </w:r>
    </w:p>
    <w:p>
      <w:pPr>
        <w:spacing w:after="160"/>
      </w:pPr>
      <w:r>
        <w:rPr>
          <w:rFonts w:ascii="Times New Roman" w:cs="Times New Roman" w:eastAsia="Times New Roman" w:hAnsi="Times New Roman"/>
          <w:sz w:val="24"/>
          <w:szCs w:val="24"/>
        </w:rPr>
        <w:t xml:space="preserve">The assessment followed a five-phase structure:</w:t>
      </w:r>
    </w:p>
    <w:p>
      <w:pPr>
        <w:pStyle w:val="ListParagraph"/>
        <w:numPr>
          <w:ilvl w:val="0"/>
          <w:numId w:val="3"/>
        </w:numPr>
        <w:spacing w:after="100"/>
      </w:pPr>
      <w:r>
        <w:rPr>
          <w:rFonts w:ascii="Times New Roman" w:cs="Times New Roman" w:eastAsia="Times New Roman" w:hAnsi="Times New Roman"/>
          <w:sz w:val="24"/>
          <w:szCs w:val="24"/>
        </w:rPr>
        <w:t xml:space="preserve">Baseline capture — the unmodified application was set up, run, and its starting configuration (Docker Compose file, environment template, source files) was snapshotted before any change was made, establishing a clean point of comparison.</w:t>
      </w:r>
    </w:p>
    <w:p>
      <w:pPr>
        <w:pStyle w:val="ListParagraph"/>
        <w:numPr>
          <w:ilvl w:val="0"/>
          <w:numId w:val="3"/>
        </w:numPr>
        <w:spacing w:after="100"/>
      </w:pPr>
      <w:r>
        <w:rPr>
          <w:rFonts w:ascii="Times New Roman" w:cs="Times New Roman" w:eastAsia="Times New Roman" w:hAnsi="Times New Roman"/>
          <w:sz w:val="24"/>
          <w:szCs w:val="24"/>
        </w:rPr>
        <w:t xml:space="preserve">Threat modeling — a data flow diagram and STRIDE analysis were produced directly from the application’s actual source code (not from assumption), identifying three trust boundaries and building a hypothesis set of findings still requiring live proof.</w:t>
      </w:r>
    </w:p>
    <w:p>
      <w:pPr>
        <w:pStyle w:val="ListParagraph"/>
        <w:numPr>
          <w:ilvl w:val="0"/>
          <w:numId w:val="3"/>
        </w:numPr>
        <w:spacing w:after="100"/>
      </w:pPr>
      <w:r>
        <w:rPr>
          <w:rFonts w:ascii="Times New Roman" w:cs="Times New Roman" w:eastAsia="Times New Roman" w:hAnsi="Times New Roman"/>
          <w:sz w:val="24"/>
          <w:szCs w:val="24"/>
        </w:rPr>
        <w:t xml:space="preserve">Live testing (“before” evidence) — each hypothesized finding was tested directly against the running, unmodified application: unauthenticated HTTP requests, direct database connections bypassing the API, and direct container inspection. Only confirmed findings were carried forward.</w:t>
      </w:r>
    </w:p>
    <w:p>
      <w:pPr>
        <w:pStyle w:val="ListParagraph"/>
        <w:numPr>
          <w:ilvl w:val="0"/>
          <w:numId w:val="3"/>
        </w:numPr>
        <w:spacing w:after="100"/>
      </w:pPr>
      <w:r>
        <w:rPr>
          <w:rFonts w:ascii="Times New Roman" w:cs="Times New Roman" w:eastAsia="Times New Roman" w:hAnsi="Times New Roman"/>
          <w:sz w:val="24"/>
          <w:szCs w:val="24"/>
        </w:rPr>
        <w:t xml:space="preserve">Remediation — fixes were implemented one domain at a time (API, then Database, then Container), each isolated to its own commit with its own before/after evidence, so every change could be independently verified and attributed.</w:t>
      </w:r>
    </w:p>
    <w:p>
      <w:pPr>
        <w:pStyle w:val="ListParagraph"/>
        <w:numPr>
          <w:ilvl w:val="0"/>
          <w:numId w:val="3"/>
        </w:numPr>
        <w:spacing w:after="100"/>
      </w:pPr>
      <w:r>
        <w:rPr>
          <w:rFonts w:ascii="Times New Roman" w:cs="Times New Roman" w:eastAsia="Times New Roman" w:hAnsi="Times New Roman"/>
          <w:sz w:val="24"/>
          <w:szCs w:val="24"/>
        </w:rPr>
        <w:t xml:space="preserve">Verification (“after” evidence) — every fix was re-tested with the same live methodology used to prove the original finding, plus a dependency vulnerability scan and a 21-test automated regression suite, to confirm the fix actually closed the gap without breaking legitimate functionality.</w:t>
      </w:r>
    </w:p>
    <w:p>
      <w:pPr>
        <w:spacing w:after="160"/>
      </w:pPr>
      <w:r>
        <w:rPr>
          <w:rFonts w:ascii="Times New Roman" w:cs="Times New Roman" w:eastAsia="Times New Roman" w:hAnsi="Times New Roman"/>
          <w:sz w:val="24"/>
          <w:szCs w:val="24"/>
        </w:rPr>
        <w:t xml:space="preserve">Tools used: Node.js/Express and PostgreSQL (the application stack itself), Docker Desktop, curl (via PowerShell) for live HTTP testing, direct PostgreSQL client connections (via the `pg` Node package) for direct-database testing, Vitest/Supertest for automated regression testing, and `npm audit` for dependency vulnerability scanning. AI assistance (Claude) was used throughout as a implementation and analysis aid — see the AI Assistance section of this report for how, and for the verification discipline applied to its output.</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Threat Model Summary</w:t>
      </w:r>
    </w:p>
    <w:p>
      <w:pPr>
        <w:spacing w:after="160"/>
      </w:pPr>
      <w:r>
        <w:rPr>
          <w:rFonts w:ascii="Times New Roman" w:cs="Times New Roman" w:eastAsia="Times New Roman" w:hAnsi="Times New Roman"/>
          <w:sz w:val="24"/>
          <w:szCs w:val="24"/>
        </w:rPr>
        <w:t xml:space="preserve">The full threat model, including the complete data flow diagram and STRIDE tables, is maintained in the project repository at docs/assessment/THREAT_MODEL.md. This section summarizes the key findings that drove the remediation work.</w:t>
      </w:r>
    </w:p>
    <w:p>
      <w:pPr>
        <w:pStyle w:val="Heading2"/>
        <w:spacing w:after="160" w:before="320"/>
      </w:pPr>
      <w:r>
        <w:rPr>
          <w:rFonts w:ascii="Times New Roman" w:cs="Times New Roman" w:eastAsia="Times New Roman" w:hAnsi="Times New Roman"/>
          <w:b/>
          <w:bCs/>
          <w:color w:val="1F3864"/>
          <w:sz w:val="30"/>
          <w:szCs w:val="30"/>
        </w:rPr>
        <w:t xml:space="preserve">Trust Boundaries</w:t>
      </w:r>
    </w:p>
    <w:p>
      <w:pPr>
        <w:spacing w:after="160"/>
      </w:pPr>
      <w:r>
        <w:rPr>
          <w:rFonts w:ascii="Times New Roman" w:cs="Times New Roman" w:eastAsia="Times New Roman" w:hAnsi="Times New Roman"/>
          <w:sz w:val="24"/>
          <w:szCs w:val="24"/>
        </w:rPr>
        <w:t xml:space="preserve">The application has three trust boundaries, each evaluated independently:</w:t>
      </w:r>
    </w:p>
    <w:p>
      <w:pPr>
        <w:pStyle w:val="ListParagraph"/>
        <w:numPr>
          <w:ilvl w:val="0"/>
          <w:numId w:val="2"/>
        </w:numPr>
        <w:spacing w:after="80"/>
      </w:pPr>
      <w:r>
        <w:rPr>
          <w:rFonts w:ascii="Times New Roman" w:cs="Times New Roman" w:eastAsia="Times New Roman" w:hAnsi="Times New Roman"/>
          <w:b/>
          <w:bCs/>
          <w:sz w:val="24"/>
          <w:szCs w:val="24"/>
        </w:rPr>
        <w:t xml:space="preserve">Boundary 1 — Network edge (any HTTP client → API): </w:t>
      </w:r>
      <w:r>
        <w:rPr>
          <w:rFonts w:ascii="Times New Roman" w:cs="Times New Roman" w:eastAsia="Times New Roman" w:hAnsi="Times New Roman"/>
          <w:sz w:val="24"/>
          <w:szCs w:val="24"/>
        </w:rPr>
        <w:t xml:space="preserve">the boundary between an anonymous caller and the API server. As found, nothing distinguished a legitimate teammate from an anonymous script — there was no authentication of any kind.</w:t>
      </w:r>
    </w:p>
    <w:p>
      <w:pPr>
        <w:pStyle w:val="ListParagraph"/>
        <w:numPr>
          <w:ilvl w:val="0"/>
          <w:numId w:val="2"/>
        </w:numPr>
        <w:spacing w:after="80"/>
      </w:pPr>
      <w:r>
        <w:rPr>
          <w:rFonts w:ascii="Times New Roman" w:cs="Times New Roman" w:eastAsia="Times New Roman" w:hAnsi="Times New Roman"/>
          <w:b/>
          <w:bCs/>
          <w:sz w:val="24"/>
          <w:szCs w:val="24"/>
        </w:rPr>
        <w:t xml:space="preserve">Boundary 2 — API → Database: </w:t>
      </w:r>
      <w:r>
        <w:rPr>
          <w:rFonts w:ascii="Times New Roman" w:cs="Times New Roman" w:eastAsia="Times New Roman" w:hAnsi="Times New Roman"/>
          <w:sz w:val="24"/>
          <w:szCs w:val="24"/>
        </w:rPr>
        <w:t xml:space="preserve">the API authenticated to PostgreSQL using a single, fixed credential pair regardless of the original caller’s identity, and the transport defaulted to unencrypted.</w:t>
      </w:r>
    </w:p>
    <w:p>
      <w:pPr>
        <w:pStyle w:val="ListParagraph"/>
        <w:numPr>
          <w:ilvl w:val="0"/>
          <w:numId w:val="2"/>
        </w:numPr>
        <w:spacing w:after="80"/>
      </w:pPr>
      <w:r>
        <w:rPr>
          <w:rFonts w:ascii="Times New Roman" w:cs="Times New Roman" w:eastAsia="Times New Roman" w:hAnsi="Times New Roman"/>
          <w:b/>
          <w:bCs/>
          <w:sz w:val="24"/>
          <w:szCs w:val="24"/>
        </w:rPr>
        <w:t xml:space="preserve">Boundary 3 — Host → Container runtime: </w:t>
      </w:r>
      <w:r>
        <w:rPr>
          <w:rFonts w:ascii="Times New Roman" w:cs="Times New Roman" w:eastAsia="Times New Roman" w:hAnsi="Times New Roman"/>
          <w:sz w:val="24"/>
          <w:szCs w:val="24"/>
        </w:rPr>
        <w:t xml:space="preserve">the database container published its port to every network interface on the host, not just loopback, and ran without resource limits or a pinned image.</w:t>
      </w:r>
    </w:p>
    <w:p>
      <w:pPr>
        <w:pStyle w:val="Heading2"/>
        <w:spacing w:after="160" w:before="320"/>
      </w:pPr>
      <w:r>
        <w:rPr>
          <w:rFonts w:ascii="Times New Roman" w:cs="Times New Roman" w:eastAsia="Times New Roman" w:hAnsi="Times New Roman"/>
          <w:b/>
          <w:bCs/>
          <w:color w:val="1F3864"/>
          <w:sz w:val="30"/>
          <w:szCs w:val="30"/>
        </w:rPr>
        <w:t xml:space="preserve">Asset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50"/>
      </w:tblGrid>
      <w:tr>
        <w:trPr>
          <w:tblHeader/>
        </w:trPr>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Asset</w:t>
            </w:r>
          </w:p>
        </w:tc>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Sensitivity</w:t>
            </w:r>
          </w:p>
        </w:tc>
        <w:tc>
          <w:tcPr>
            <w:tcW w:type="dxa" w:w="395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Notes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Birthday records (name, DOB, phone, email)</w:t>
            </w:r>
          </w:p>
        </w:tc>
        <w:tc>
          <w:tcPr>
            <w:tcW w:type="dxa" w:w="2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High</w:t>
            </w:r>
          </w:p>
        </w:tc>
        <w:tc>
          <w:tcPr>
            <w:tcW w:type="dxa" w:w="39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 complete identity/social-engineering starter kit even without a government ID or financial data attached.</w:t>
            </w:r>
          </w:p>
        </w:tc>
      </w:tr>
      <w:tr>
        <w:tc>
          <w:tcPr>
            <w:tcW w:type="dxa" w:w="32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 credentials</w:t>
            </w:r>
          </w:p>
        </w:tc>
        <w:tc>
          <w:tcPr>
            <w:tcW w:type="dxa" w:w="22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Medium (weak, tracked in git)</w:t>
            </w:r>
          </w:p>
        </w:tc>
        <w:tc>
          <w:tcPr>
            <w:tcW w:type="dxa" w:w="39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The actual runtime .env is properly gitignored; the exposure is that the tracked files shipped the same weak defaults.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Record IDs (UUIDs)</w:t>
            </w:r>
          </w:p>
        </w:tc>
        <w:tc>
          <w:tcPr>
            <w:tcW w:type="dxa" w:w="2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Low</w:t>
            </w:r>
          </w:p>
        </w:tc>
        <w:tc>
          <w:tcPr>
            <w:tcW w:type="dxa" w:w="39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Not enumerable on their own, but relevant since write endpoints trusted the ID alone with no ownership check.</w:t>
            </w:r>
          </w:p>
        </w:tc>
      </w:tr>
      <w:tr>
        <w:tc>
          <w:tcPr>
            <w:tcW w:type="dxa" w:w="32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Application source / assessment evidence</w:t>
            </w:r>
          </w:p>
        </w:tc>
        <w:tc>
          <w:tcPr>
            <w:tcW w:type="dxa" w:w="22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Low–Medium</w:t>
            </w:r>
          </w:p>
        </w:tc>
        <w:tc>
          <w:tcPr>
            <w:tcW w:type="dxa" w:w="39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Public once forked — governs the rule that nothing committed here may include a real credential.</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PostgreSQL container / volume</w:t>
            </w:r>
          </w:p>
        </w:tc>
        <w:tc>
          <w:tcPr>
            <w:tcW w:type="dxa" w:w="22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Medium</w:t>
            </w:r>
          </w:p>
        </w:tc>
        <w:tc>
          <w:tcPr>
            <w:tcW w:type="dxa" w:w="39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Direct host/Docker access bypasses the API and any of its access controls entirely.</w:t>
            </w:r>
          </w:p>
        </w:tc>
      </w:tr>
    </w:tbl>
    <w:p>
      <w:pPr>
        <w:spacing w:after="160"/>
      </w:pPr>
      <w:r>
        <w:rPr>
          <w:rFonts w:ascii="Times New Roman" w:cs="Times New Roman" w:eastAsia="Times New Roman" w:hAnsi="Times New Roman"/>
          <w:i/>
          <w:iCs/>
          <w:sz w:val="24"/>
          <w:szCs w:val="24"/>
        </w:rPr>
        <w:t xml:space="preserve">Regulatory note: name, date of birth, phone, and email meet a broad definition of “personal data” (e.g., GDPR Art. 4), though this specific combination is not automatically the trigger most U.S. state breach-notification statutes use (which typically require a more sensitive identifier such as an SSN or financial account number). This assessment does not assert a specific breach-notification obligation — that determination depends on the jurisdictions and data subjects actually involved in a real deployment, and is flagged here for legal review rather than assumed.</w:t>
      </w:r>
    </w:p>
    <w:p>
      <w:pPr>
        <w:pStyle w:val="Heading2"/>
        <w:spacing w:after="160" w:before="320"/>
      </w:pPr>
      <w:r>
        <w:rPr>
          <w:rFonts w:ascii="Times New Roman" w:cs="Times New Roman" w:eastAsia="Times New Roman" w:hAnsi="Times New Roman"/>
          <w:b/>
          <w:bCs/>
          <w:color w:val="1F3864"/>
          <w:sz w:val="30"/>
          <w:szCs w:val="30"/>
        </w:rPr>
        <w:t xml:space="preserve">Prioritized Remediation Roadmap</w:t>
      </w:r>
    </w:p>
    <w:p>
      <w:pPr>
        <w:spacing w:after="160"/>
      </w:pPr>
      <w:r>
        <w:rPr>
          <w:rFonts w:ascii="Times New Roman" w:cs="Times New Roman" w:eastAsia="Times New Roman" w:hAnsi="Times New Roman"/>
          <w:sz w:val="24"/>
          <w:szCs w:val="24"/>
        </w:rPr>
        <w:t xml:space="preserve">Findings were ranked by three explicit criteria: whether an item is a root-cause enabler versus a defense-in-depth control, ease of exploitation, and blast radius. A defense-in-depth item never outranked a root-cause item, even when it sounded individually more severe, because fixing the root cause is what makes every subsequent fix actually matter.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650"/>
        <w:gridCol w:w="1800"/>
      </w:tblGrid>
      <w:tr>
        <w:trPr>
          <w:tblHeader/>
        </w:trPr>
        <w:tc>
          <w:tcPr>
            <w:tcW w:type="dxa" w:w="9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Rank</w:t>
            </w:r>
          </w:p>
        </w:tc>
        <w:tc>
          <w:tcPr>
            <w:tcW w:type="dxa" w:w="665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Finding</w:t>
            </w:r>
          </w:p>
        </w:tc>
        <w:tc>
          <w:tcPr>
            <w:tcW w:type="dxa" w:w="18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Domain</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1</w:t>
            </w:r>
          </w:p>
        </w:tc>
        <w:tc>
          <w:tcPr>
            <w:tcW w:type="dxa" w:w="66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authentication or authorization on any endpoint</w:t>
            </w:r>
          </w:p>
        </w:tc>
        <w:tc>
          <w:tcPr>
            <w:tcW w:type="dxa" w:w="18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r>
      <w:tr>
        <w:tc>
          <w:tcPr>
            <w:tcW w:type="dxa" w:w="9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2</w:t>
            </w:r>
          </w:p>
        </w:tc>
        <w:tc>
          <w:tcPr>
            <w:tcW w:type="dxa" w:w="66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Hardcoded/default database credentials tracked in git</w:t>
            </w:r>
          </w:p>
        </w:tc>
        <w:tc>
          <w:tcPr>
            <w:tcW w:type="dxa" w:w="18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3</w:t>
            </w:r>
          </w:p>
        </w:tc>
        <w:tc>
          <w:tcPr>
            <w:tcW w:type="dxa" w:w="66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Wide-open CORS (any origin accepted)</w:t>
            </w:r>
          </w:p>
        </w:tc>
        <w:tc>
          <w:tcPr>
            <w:tcW w:type="dxa" w:w="18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r>
      <w:tr>
        <w:tc>
          <w:tcPr>
            <w:tcW w:type="dxa" w:w="9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4</w:t>
            </w:r>
          </w:p>
        </w:tc>
        <w:tc>
          <w:tcPr>
            <w:tcW w:type="dxa" w:w="66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 port published to all network interfaces</w:t>
            </w:r>
          </w:p>
        </w:tc>
        <w:tc>
          <w:tcPr>
            <w:tcW w:type="dxa" w:w="18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Container</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5</w:t>
            </w:r>
          </w:p>
        </w:tc>
        <w:tc>
          <w:tcPr>
            <w:tcW w:type="dxa" w:w="66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rate limiting; unbounded queries</w:t>
            </w:r>
          </w:p>
        </w:tc>
        <w:tc>
          <w:tcPr>
            <w:tcW w:type="dxa" w:w="18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r>
      <w:tr>
        <w:tc>
          <w:tcPr>
            <w:tcW w:type="dxa" w:w="9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6</w:t>
            </w:r>
          </w:p>
        </w:tc>
        <w:tc>
          <w:tcPr>
            <w:tcW w:type="dxa" w:w="66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Plaintext PII storage / no encryption at rest</w:t>
            </w:r>
          </w:p>
        </w:tc>
        <w:tc>
          <w:tcPr>
            <w:tcW w:type="dxa" w:w="18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7</w:t>
            </w:r>
          </w:p>
        </w:tc>
        <w:tc>
          <w:tcPr>
            <w:tcW w:type="dxa" w:w="66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TLS gaps to the database</w:t>
            </w:r>
          </w:p>
        </w:tc>
        <w:tc>
          <w:tcPr>
            <w:tcW w:type="dxa" w:w="18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w:t>
            </w:r>
          </w:p>
        </w:tc>
      </w:tr>
      <w:tr>
        <w:tc>
          <w:tcPr>
            <w:tcW w:type="dxa" w:w="9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8</w:t>
            </w:r>
          </w:p>
        </w:tc>
        <w:tc>
          <w:tcPr>
            <w:tcW w:type="dxa" w:w="66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Container runtime hardening (floating tag, no limits)</w:t>
            </w:r>
          </w:p>
        </w:tc>
        <w:tc>
          <w:tcPr>
            <w:tcW w:type="dxa" w:w="18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Container</w:t>
            </w:r>
          </w:p>
        </w:tc>
      </w:tr>
    </w:tbl>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Domain 1 Findings &amp; Remediation — API</w:t>
      </w:r>
    </w:p>
    <w:p>
      <w:pPr>
        <w:pStyle w:val="Heading2"/>
        <w:spacing w:after="160" w:before="320"/>
      </w:pPr>
      <w:r>
        <w:rPr>
          <w:rFonts w:ascii="Times New Roman" w:cs="Times New Roman" w:eastAsia="Times New Roman" w:hAnsi="Times New Roman"/>
          <w:b/>
          <w:bCs/>
          <w:color w:val="1F3864"/>
          <w:sz w:val="30"/>
          <w:szCs w:val="30"/>
        </w:rPr>
        <w:t xml:space="preserve">Finding</w:t>
      </w:r>
    </w:p>
    <w:p>
      <w:pPr>
        <w:spacing w:after="160"/>
      </w:pPr>
      <w:r>
        <w:rPr>
          <w:rFonts w:ascii="Times New Roman" w:cs="Times New Roman" w:eastAsia="Times New Roman" w:hAnsi="Times New Roman"/>
          <w:sz w:val="24"/>
          <w:szCs w:val="24"/>
        </w:rPr>
        <w:t xml:space="preserve">Every route under /api/birthdays — list, create, update, and delete — required zero credentials. Any HTTP client could read the full dataset (every name, date of birth, phone number, and email in the system) or modify/delete any record by guessing or observing its ID. CORS was configured with no origin restriction, meaning any website could also issue these requests from inside a victim’s browser. No security headers were set, and there was no rate limiting anywhere in the API.</w:t>
      </w:r>
    </w:p>
    <w:p>
      <w:pPr>
        <w:pStyle w:val="Heading2"/>
        <w:spacing w:after="160" w:before="320"/>
      </w:pPr>
      <w:r>
        <w:rPr>
          <w:rFonts w:ascii="Times New Roman" w:cs="Times New Roman" w:eastAsia="Times New Roman" w:hAnsi="Times New Roman"/>
          <w:b/>
          <w:bCs/>
          <w:color w:val="1F3864"/>
          <w:sz w:val="30"/>
          <w:szCs w:val="30"/>
        </w:rPr>
        <w:t xml:space="preserve">Live "Before" Evidence</w:t>
      </w:r>
    </w:p>
    <w:p>
      <w:pPr>
        <w:spacing w:after="160"/>
      </w:pPr>
      <w:r>
        <w:rPr>
          <w:rFonts w:ascii="Times New Roman" w:cs="Times New Roman" w:eastAsia="Times New Roman" w:hAnsi="Times New Roman"/>
          <w:sz w:val="24"/>
          <w:szCs w:val="24"/>
        </w:rPr>
        <w:t xml:space="preserve">An unauthenticated GET request against the running, unmodified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GET /api/birthdays  (no credentials supplied)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HTTP/1.1 200 OK</w:t>
            </w:r>
          </w:p>
          <w:p>
            <w:pPr>
              <w:spacing w:after="20"/>
            </w:pPr>
            <w:r>
              <w:rPr>
                <w:rFonts w:ascii="Consolas" w:cs="Consolas" w:eastAsia="Consolas" w:hAnsi="Consolas"/>
                <w:color w:val="D4D4D4"/>
                <w:sz w:val="18"/>
                <w:szCs w:val="18"/>
              </w:rPr>
              <w:t xml:space="preserve">Access-Control-Allow-Origin: *</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[{"firstName":"Margaret","lastName":"Hamilton","phone":"+1 415 555 0106",</w:t>
            </w:r>
          </w:p>
          <w:p>
            <w:pPr>
              <w:spacing w:after="20"/>
            </w:pPr>
            <w:r>
              <w:rPr>
                <w:rFonts w:ascii="Consolas" w:cs="Consolas" w:eastAsia="Consolas" w:hAnsi="Consolas"/>
                <w:color w:val="D4D4D4"/>
                <w:sz w:val="18"/>
                <w:szCs w:val="18"/>
              </w:rPr>
              <w:t xml:space="preserve">  "email":"margaret@example.com", ...}, ...8 full records total]</w:t>
            </w:r>
          </w:p>
        </w:tc>
      </w:tr>
    </w:tbl>
    <w:p>
      <w:pPr>
        <w:spacing w:after="160"/>
      </w:pPr>
      <w:r>
        <w:rPr>
          <w:rFonts w:ascii="Times New Roman" w:cs="Times New Roman" w:eastAsia="Times New Roman" w:hAnsi="Times New Roman"/>
          <w:sz w:val="24"/>
          <w:szCs w:val="24"/>
        </w:rPr>
        <w:t xml:space="preserve">A follow-on tamper test confirmed the same was true for writes: an unauthenticated client could create a new record (201 Created), edit any existing record by ID (200 OK), and delete it (204 No Content) — a complete, unauthenticated CRUD path to every record in the system.</w:t>
      </w:r>
    </w:p>
    <w:p>
      <w:pPr>
        <w:pStyle w:val="Heading2"/>
        <w:spacing w:after="160" w:before="320"/>
      </w:pPr>
      <w:r>
        <w:rPr>
          <w:rFonts w:ascii="Times New Roman" w:cs="Times New Roman" w:eastAsia="Times New Roman" w:hAnsi="Times New Roman"/>
          <w:b/>
          <w:bCs/>
          <w:color w:val="1F3864"/>
          <w:sz w:val="30"/>
          <w:szCs w:val="30"/>
        </w:rPr>
        <w:t xml:space="preserve">Testing a Suspected Vulnerability — Negative Result</w:t>
      </w:r>
    </w:p>
    <w:p>
      <w:pPr>
        <w:spacing w:after="160"/>
      </w:pPr>
      <w:r>
        <w:rPr>
          <w:rFonts w:ascii="Times New Roman" w:cs="Times New Roman" w:eastAsia="Times New Roman" w:hAnsi="Times New Roman"/>
          <w:i w:val="false"/>
          <w:iCs w:val="false"/>
          <w:sz w:val="24"/>
          <w:szCs w:val="24"/>
        </w:rPr>
        <w:t xml:space="preserve">SQL injection via the search filter (`?q=`) was a reasonable hypothesis given the app accepts free-text search input. It was directly tested with a tautology payload (`' OR '1'='1`) and a stacked-query payload (`x'; DROP TABLE birthdays; --`), both before and after remediation. Both attempts returned an empty result set with the record count unchanged — the application’s use of parameterized queries (`pool.query(text, [params])` via the `pg` library) held. This is reported as a confirmed negative finding, not left untested and not assumed safe.</w:t>
      </w:r>
    </w:p>
    <w:p>
      <w:pPr>
        <w:pStyle w:val="Heading2"/>
        <w:spacing w:after="160" w:before="320"/>
      </w:pPr>
      <w:r>
        <w:rPr>
          <w:rFonts w:ascii="Times New Roman" w:cs="Times New Roman" w:eastAsia="Times New Roman" w:hAnsi="Times New Roman"/>
          <w:b/>
          <w:bCs/>
          <w:color w:val="1F3864"/>
          <w:sz w:val="30"/>
          <w:szCs w:val="30"/>
        </w:rPr>
        <w:t xml:space="preserve">Remediation</w:t>
      </w:r>
    </w:p>
    <w:p>
      <w:pPr>
        <w:pStyle w:val="ListParagraph"/>
        <w:numPr>
          <w:ilvl w:val="0"/>
          <w:numId w:val="2"/>
        </w:numPr>
        <w:spacing w:after="80"/>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a username/password login system was added using argon2id password hashing (the current OWASP-recommended algorithm) and JSON Web Token session cookies, set httpOnly and SameSite=Strict to mitigate XSS-based token theft. Every /api/birthdays route now requires a valid session.</w:t>
      </w:r>
    </w:p>
    <w:p>
      <w:pPr>
        <w:pStyle w:val="ListParagraph"/>
        <w:numPr>
          <w:ilvl w:val="0"/>
          <w:numId w:val="2"/>
        </w:numPr>
        <w:spacing w:after="80"/>
      </w:pPr>
      <w:r>
        <w:rPr>
          <w:rFonts w:ascii="Times New Roman" w:cs="Times New Roman" w:eastAsia="Times New Roman" w:hAnsi="Times New Roman"/>
          <w:b/>
          <w:bCs/>
          <w:sz w:val="24"/>
          <w:szCs w:val="24"/>
        </w:rPr>
        <w:t xml:space="preserve">CORS: </w:t>
      </w:r>
      <w:r>
        <w:rPr>
          <w:rFonts w:ascii="Times New Roman" w:cs="Times New Roman" w:eastAsia="Times New Roman" w:hAnsi="Times New Roman"/>
          <w:sz w:val="24"/>
          <w:szCs w:val="24"/>
        </w:rPr>
        <w:t xml:space="preserve">restricted to the application’s own configured origin instead of accepting any origin, with credentials support enabled only for that origin.</w:t>
      </w:r>
    </w:p>
    <w:p>
      <w:pPr>
        <w:pStyle w:val="ListParagraph"/>
        <w:numPr>
          <w:ilvl w:val="0"/>
          <w:numId w:val="2"/>
        </w:numPr>
        <w:spacing w:after="80"/>
      </w:pPr>
      <w:r>
        <w:rPr>
          <w:rFonts w:ascii="Times New Roman" w:cs="Times New Roman" w:eastAsia="Times New Roman" w:hAnsi="Times New Roman"/>
          <w:b/>
          <w:bCs/>
          <w:sz w:val="24"/>
          <w:szCs w:val="24"/>
        </w:rPr>
        <w:t xml:space="preserve">Security headers: </w:t>
      </w:r>
      <w:r>
        <w:rPr>
          <w:rFonts w:ascii="Times New Roman" w:cs="Times New Roman" w:eastAsia="Times New Roman" w:hAnsi="Times New Roman"/>
          <w:sz w:val="24"/>
          <w:szCs w:val="24"/>
        </w:rPr>
        <w:t xml:space="preserve">added via the industry-standard `helmet` middleware — Content-Security-Policy, HTTP Strict Transport Security, X-Frame-Options, X-Content-Type-Options, and related headers.</w:t>
      </w:r>
    </w:p>
    <w:p>
      <w:pPr>
        <w:pStyle w:val="ListParagraph"/>
        <w:numPr>
          <w:ilvl w:val="0"/>
          <w:numId w:val="2"/>
        </w:numPr>
        <w:spacing w:after="80"/>
      </w:pPr>
      <w:r>
        <w:rPr>
          <w:rFonts w:ascii="Times New Roman" w:cs="Times New Roman" w:eastAsia="Times New Roman" w:hAnsi="Times New Roman"/>
          <w:b/>
          <w:bCs/>
          <w:sz w:val="24"/>
          <w:szCs w:val="24"/>
        </w:rPr>
        <w:t xml:space="preserve">Rate limiting: </w:t>
      </w:r>
      <w:r>
        <w:rPr>
          <w:rFonts w:ascii="Times New Roman" w:cs="Times New Roman" w:eastAsia="Times New Roman" w:hAnsi="Times New Roman"/>
          <w:sz w:val="24"/>
          <w:szCs w:val="24"/>
        </w:rPr>
        <w:t xml:space="preserve">a general API limit (300 requests / 15 minutes) plus a stricter, dedicated login limit (10 attempts / 15 minutes) to slow brute-force and credential-stuffing attempts.</w:t>
      </w:r>
    </w:p>
    <w:p>
      <w:pPr>
        <w:pStyle w:val="ListParagraph"/>
        <w:numPr>
          <w:ilvl w:val="0"/>
          <w:numId w:val="2"/>
        </w:numPr>
        <w:spacing w:after="80"/>
      </w:pPr>
      <w:r>
        <w:rPr>
          <w:rFonts w:ascii="Times New Roman" w:cs="Times New Roman" w:eastAsia="Times New Roman" w:hAnsi="Times New Roman"/>
          <w:b/>
          <w:bCs/>
          <w:sz w:val="24"/>
          <w:szCs w:val="24"/>
        </w:rPr>
        <w:t xml:space="preserve">Unbounded query: </w:t>
      </w:r>
      <w:r>
        <w:rPr>
          <w:rFonts w:ascii="Times New Roman" w:cs="Times New Roman" w:eastAsia="Times New Roman" w:hAnsi="Times New Roman"/>
          <w:sz w:val="24"/>
          <w:szCs w:val="24"/>
        </w:rPr>
        <w:t xml:space="preserve">a hard row cap (LIMIT 2000) was added to the record-listing query. Full pagination was deliberately not implemented in this pass — the client application is architected around loading the entire dataset once for instant client-side search, and a full pagination rework was judged out of scope for this remediation pass; documented as a roadmap item rather than silently left unbounded.</w:t>
      </w:r>
    </w:p>
    <w:p>
      <w:pPr>
        <w:pStyle w:val="Heading2"/>
        <w:spacing w:after="160" w:before="320"/>
      </w:pPr>
      <w:r>
        <w:rPr>
          <w:rFonts w:ascii="Times New Roman" w:cs="Times New Roman" w:eastAsia="Times New Roman" w:hAnsi="Times New Roman"/>
          <w:b/>
          <w:bCs/>
          <w:color w:val="1F3864"/>
          <w:sz w:val="30"/>
          <w:szCs w:val="30"/>
        </w:rPr>
        <w:t xml:space="preserve">Live "After" Evidence</w:t>
      </w:r>
    </w:p>
    <w:p>
      <w:pPr>
        <w:spacing w:after="160"/>
      </w:pPr>
      <w:r>
        <w:rPr>
          <w:rFonts w:ascii="Times New Roman" w:cs="Times New Roman" w:eastAsia="Times New Roman" w:hAnsi="Times New Roman"/>
          <w:sz w:val="24"/>
          <w:szCs w:val="24"/>
        </w:rPr>
        <w:t xml:space="preserve">The identical test that previously returned the full dataset now 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GET /api/birthdays  (no credentials supplied)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HTTP/1.1 401 Unauthorized</w:t>
            </w:r>
          </w:p>
          <w:p>
            <w:pPr>
              <w:spacing w:after="20"/>
            </w:pPr>
            <w:r>
              <w:rPr>
                <w:rFonts w:ascii="Consolas" w:cs="Consolas" w:eastAsia="Consolas" w:hAnsi="Consolas"/>
                <w:color w:val="D4D4D4"/>
                <w:sz w:val="18"/>
                <w:szCs w:val="18"/>
              </w:rPr>
              <w:t xml:space="preserve">Content-Security-Policy: default-src 'self'; ...</w:t>
            </w:r>
          </w:p>
          <w:p>
            <w:pPr>
              <w:spacing w:after="20"/>
            </w:pPr>
            <w:r>
              <w:rPr>
                <w:rFonts w:ascii="Consolas" w:cs="Consolas" w:eastAsia="Consolas" w:hAnsi="Consolas"/>
                <w:color w:val="D4D4D4"/>
                <w:sz w:val="18"/>
                <w:szCs w:val="18"/>
              </w:rPr>
              <w:t xml:space="preserve">Strict-Transport-Security: max-age=31536000; includeSubDomains</w:t>
            </w:r>
          </w:p>
          <w:p>
            <w:pPr>
              <w:spacing w:after="20"/>
            </w:pPr>
            <w:r>
              <w:rPr>
                <w:rFonts w:ascii="Consolas" w:cs="Consolas" w:eastAsia="Consolas" w:hAnsi="Consolas"/>
                <w:color w:val="D4D4D4"/>
                <w:sz w:val="18"/>
                <w:szCs w:val="18"/>
              </w:rPr>
              <w:t xml:space="preserve">X-Content-Type-Options: nosniff</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{"error":"Authentication required."}</w:t>
            </w:r>
          </w:p>
        </w:tc>
      </w:tr>
    </w:tbl>
    <w:p>
      <w:pPr>
        <w:spacing w:after="160"/>
      </w:pPr>
      <w:r>
        <w:rPr>
          <w:rFonts w:ascii="Times New Roman" w:cs="Times New Roman" w:eastAsia="Times New Roman" w:hAnsi="Times New Roman"/>
          <w:sz w:val="24"/>
          <w:szCs w:val="24"/>
        </w:rPr>
        <w:t xml:space="preserve">The same result held for the unauthenticated create/edit/delete tamper chain — every step now returns 401 Unauthorized. A CORS probe using a forged Origin header (`http://evil-example.test`) confirmed the response no longer reflects an untrusted origin. A login with valid credentials succeeds, sets the expected httpOnly/SameSite=Strict cookie, and an authenticated session can still read, create, and delete records normally — confirming the fix did not break legitimate use. Repeated failed login attempts were confirmed to trigger the rate limiter (HTTP 429) after the configured threshold.</w:t>
      </w:r>
    </w:p>
    <w:p>
      <w:pPr>
        <w:pStyle w:val="Heading2"/>
        <w:spacing w:after="160" w:before="320"/>
      </w:pPr>
      <w:r>
        <w:rPr>
          <w:rFonts w:ascii="Times New Roman" w:cs="Times New Roman" w:eastAsia="Times New Roman" w:hAnsi="Times New Roman"/>
          <w:b/>
          <w:bCs/>
          <w:color w:val="1F3864"/>
          <w:sz w:val="30"/>
          <w:szCs w:val="30"/>
        </w:rPr>
        <w:t xml:space="preserve">Automated Regression Coverage</w:t>
      </w:r>
    </w:p>
    <w:p>
      <w:pPr>
        <w:spacing w:after="160"/>
      </w:pPr>
      <w:r>
        <w:rPr>
          <w:rFonts w:ascii="Times New Roman" w:cs="Times New Roman" w:eastAsia="Times New Roman" w:hAnsi="Times New Roman"/>
          <w:sz w:val="24"/>
          <w:szCs w:val="24"/>
        </w:rPr>
        <w:t xml:space="preserve">16 automated tests (Vitest + Supertest) now run against this domain, covering: authentication required on every route, CORS restriction, security header presence, generic (non-enumerating) login error messages, successful login/session behavior, authenticated access continuing to work, and the login rate limiter. All 16 pass.</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Domain 2 Findings &amp; Remediation — Database</w:t>
      </w:r>
    </w:p>
    <w:p>
      <w:pPr>
        <w:pStyle w:val="Heading2"/>
        <w:spacing w:after="160" w:before="320"/>
      </w:pPr>
      <w:r>
        <w:rPr>
          <w:rFonts w:ascii="Times New Roman" w:cs="Times New Roman" w:eastAsia="Times New Roman" w:hAnsi="Times New Roman"/>
          <w:b/>
          <w:bCs/>
          <w:color w:val="1F3864"/>
          <w:sz w:val="30"/>
          <w:szCs w:val="30"/>
        </w:rPr>
        <w:t xml:space="preserve">Finding</w:t>
      </w:r>
    </w:p>
    <w:p>
      <w:pPr>
        <w:spacing w:after="160"/>
      </w:pPr>
      <w:r>
        <w:rPr>
          <w:rFonts w:ascii="Times New Roman" w:cs="Times New Roman" w:eastAsia="Times New Roman" w:hAnsi="Times New Roman"/>
          <w:sz w:val="24"/>
          <w:szCs w:val="24"/>
        </w:rPr>
        <w:t xml:space="preserve">The PostgreSQL database used a hardcoded, guessable credential pair (`birthday` / `birthday`), set both in the tracked `docker-compose.yml` and as a fallback default in the application’s own connection code. Separately, the optional TLS connection path set `rejectUnauthorized: false`, which accepts any server certificate — including a forged one — defeating the purpose of using TLS at all.</w:t>
      </w:r>
    </w:p>
    <w:p>
      <w:pPr>
        <w:pStyle w:val="Heading2"/>
        <w:spacing w:after="160" w:before="320"/>
      </w:pPr>
      <w:r>
        <w:rPr>
          <w:rFonts w:ascii="Times New Roman" w:cs="Times New Roman" w:eastAsia="Times New Roman" w:hAnsi="Times New Roman"/>
          <w:b/>
          <w:bCs/>
          <w:color w:val="1F3864"/>
          <w:sz w:val="30"/>
          <w:szCs w:val="30"/>
        </w:rPr>
        <w:t xml:space="preserve">Live "Before" Evidence</w:t>
      </w:r>
    </w:p>
    <w:p>
      <w:pPr>
        <w:spacing w:after="160"/>
      </w:pPr>
      <w:r>
        <w:rPr>
          <w:rFonts w:ascii="Times New Roman" w:cs="Times New Roman" w:eastAsia="Times New Roman" w:hAnsi="Times New Roman"/>
          <w:sz w:val="24"/>
          <w:szCs w:val="24"/>
        </w:rPr>
        <w:t xml:space="preserve">A direct connection to the database’s published port, using only the credential pair visible in the public repository and with zero interaction with the API or its (now-fixed) authentication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Connecting to localhost:5544 as user "birthday" ...</w:t>
            </w:r>
          </w:p>
          <w:p>
            <w:pPr>
              <w:spacing w:after="20"/>
            </w:pPr>
            <w:r>
              <w:rPr>
                <w:rFonts w:ascii="Consolas" w:cs="Consolas" w:eastAsia="Consolas" w:hAnsi="Consolas"/>
                <w:color w:val="D4D4D4"/>
                <w:sz w:val="18"/>
                <w:szCs w:val="18"/>
              </w:rPr>
              <w:t xml:space="preserve">Connection SUCCEEDED.</w:t>
            </w:r>
          </w:p>
          <w:p>
            <w:pPr>
              <w:spacing w:after="20"/>
            </w:pPr>
            <w:r>
              <w:rPr>
                <w:rFonts w:ascii="Consolas" w:cs="Consolas" w:eastAsia="Consolas" w:hAnsi="Consolas"/>
                <w:color w:val="D4D4D4"/>
                <w:sz w:val="18"/>
                <w:szCs w:val="18"/>
              </w:rPr>
              <w:t xml:space="preserve">Row count in "birthdays": 8</w:t>
            </w:r>
          </w:p>
          <w:p>
            <w:pPr>
              <w:spacing w:after="20"/>
            </w:pPr>
            <w:r>
              <w:rPr>
                <w:rFonts w:ascii="Consolas" w:cs="Consolas" w:eastAsia="Consolas" w:hAnsi="Consolas"/>
                <w:color w:val="D4D4D4"/>
                <w:sz w:val="18"/>
                <w:szCs w:val="18"/>
              </w:rPr>
              <w:t xml:space="preserve">Sample row: {"first_name":"Ada","last_name":"Lovelace",</w:t>
            </w:r>
          </w:p>
          <w:p>
            <w:pPr>
              <w:spacing w:after="20"/>
            </w:pPr>
            <w:r>
              <w:rPr>
                <w:rFonts w:ascii="Consolas" w:cs="Consolas" w:eastAsia="Consolas" w:hAnsi="Consolas"/>
                <w:color w:val="D4D4D4"/>
                <w:sz w:val="18"/>
                <w:szCs w:val="18"/>
              </w:rPr>
              <w:t xml:space="preserve">             "email":"ada@example.com","phone":"+1 415 555 0101"}</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Result: full read access to the PII table achieved using only these</w:t>
            </w:r>
          </w:p>
          <w:p>
            <w:pPr>
              <w:spacing w:after="20"/>
            </w:pPr>
            <w:r>
              <w:rPr>
                <w:rFonts w:ascii="Consolas" w:cs="Consolas" w:eastAsia="Consolas" w:hAnsi="Consolas"/>
                <w:color w:val="D4D4D4"/>
                <w:sz w:val="18"/>
                <w:szCs w:val="18"/>
              </w:rPr>
              <w:t xml:space="preserve">credentials, with zero interaction with the Express API or its auth layer.</w:t>
            </w:r>
          </w:p>
        </w:tc>
      </w:tr>
    </w:tbl>
    <w:p>
      <w:pPr>
        <w:spacing w:after="160"/>
      </w:pPr>
      <w:r>
        <w:rPr>
          <w:rFonts w:ascii="Times New Roman" w:cs="Times New Roman" w:eastAsia="Times New Roman" w:hAnsi="Times New Roman"/>
          <w:sz w:val="24"/>
          <w:szCs w:val="24"/>
        </w:rPr>
        <w:t xml:space="preserve">This confirms the finding is a direct, practical bypass — not a theoretical bad practice. Anyone who read the public repository already had full read/write access to every record, entirely independent of the authentication added in Domain 1.</w:t>
      </w:r>
    </w:p>
    <w:p>
      <w:pPr>
        <w:pStyle w:val="Heading2"/>
        <w:spacing w:after="160" w:before="320"/>
      </w:pPr>
      <w:r>
        <w:rPr>
          <w:rFonts w:ascii="Times New Roman" w:cs="Times New Roman" w:eastAsia="Times New Roman" w:hAnsi="Times New Roman"/>
          <w:b/>
          <w:bCs/>
          <w:color w:val="1F3864"/>
          <w:sz w:val="30"/>
          <w:szCs w:val="30"/>
        </w:rPr>
        <w:t xml:space="preserve">Remediation</w:t>
      </w:r>
    </w:p>
    <w:p>
      <w:pPr>
        <w:pStyle w:val="ListParagraph"/>
        <w:numPr>
          <w:ilvl w:val="0"/>
          <w:numId w:val="2"/>
        </w:numPr>
        <w:spacing w:after="80"/>
      </w:pPr>
      <w:r>
        <w:rPr>
          <w:rFonts w:ascii="Times New Roman" w:cs="Times New Roman" w:eastAsia="Times New Roman" w:hAnsi="Times New Roman"/>
          <w:b/>
          <w:bCs/>
          <w:sz w:val="24"/>
          <w:szCs w:val="24"/>
        </w:rPr>
        <w:t xml:space="preserve">Credentials: </w:t>
      </w:r>
      <w:r>
        <w:rPr>
          <w:rFonts w:ascii="Times New Roman" w:cs="Times New Roman" w:eastAsia="Times New Roman" w:hAnsi="Times New Roman"/>
          <w:sz w:val="24"/>
          <w:szCs w:val="24"/>
        </w:rPr>
        <w:t xml:space="preserve">the hardcoded fallback was removed from the application’s connection code, which now fails fast at startup with a clear error if credentials are not explicitly set — the same pattern already used for the session-signing secret. The Docker Compose file now sources credentials from a git-ignored environment file, using Compose’s fail-loudly syntax so the stack refuses to start with missing or default configuration. Because Postgres only applies its initial password on first volume creation, closing this finding required recreating the database volume with new, randomly-generated credentials rather than just editing configuration.</w:t>
      </w:r>
    </w:p>
    <w:p>
      <w:pPr>
        <w:pStyle w:val="ListParagraph"/>
        <w:numPr>
          <w:ilvl w:val="0"/>
          <w:numId w:val="2"/>
        </w:numPr>
        <w:spacing w:after="80"/>
      </w:pPr>
      <w:r>
        <w:rPr>
          <w:rFonts w:ascii="Times New Roman" w:cs="Times New Roman" w:eastAsia="Times New Roman" w:hAnsi="Times New Roman"/>
          <w:b/>
          <w:bCs/>
          <w:sz w:val="24"/>
          <w:szCs w:val="24"/>
        </w:rPr>
        <w:t xml:space="preserve">TLS: </w:t>
      </w:r>
      <w:r>
        <w:rPr>
          <w:rFonts w:ascii="Times New Roman" w:cs="Times New Roman" w:eastAsia="Times New Roman" w:hAnsi="Times New Roman"/>
          <w:sz w:val="24"/>
          <w:szCs w:val="24"/>
        </w:rPr>
        <w:t xml:space="preserve">certificate validation now defaults to on when TLS is enabled, with a separate, explicitly-named escape hatch reserved only for a local self-signed development certificate — never intended past localhost.</w:t>
      </w:r>
    </w:p>
    <w:p>
      <w:pPr>
        <w:pStyle w:val="Heading2"/>
        <w:spacing w:after="160" w:before="320"/>
      </w:pPr>
      <w:r>
        <w:rPr>
          <w:rFonts w:ascii="Times New Roman" w:cs="Times New Roman" w:eastAsia="Times New Roman" w:hAnsi="Times New Roman"/>
          <w:b/>
          <w:bCs/>
          <w:color w:val="1F3864"/>
          <w:sz w:val="30"/>
          <w:szCs w:val="30"/>
        </w:rPr>
        <w:t xml:space="preserve">Live "After" Evidence</w:t>
      </w:r>
    </w:p>
    <w:p>
      <w:pPr>
        <w:spacing w:after="160"/>
      </w:pPr>
      <w:r>
        <w:rPr>
          <w:rFonts w:ascii="Times New Roman" w:cs="Times New Roman" w:eastAsia="Times New Roman" w:hAnsi="Times New Roman"/>
          <w:sz w:val="24"/>
          <w:szCs w:val="24"/>
        </w:rPr>
        <w:t xml:space="preserve">The identical direct-connection test using the old credentials now fails; a second test using the new credentials succeeds, confirming legitimate access was preserved while the guessable default was closed: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 connect as "birthday" / "birthday"  →  Connection FAILED:</w:t>
            </w:r>
          </w:p>
          <w:p>
            <w:pPr>
              <w:spacing w:after="20"/>
            </w:pPr>
            <w:r>
              <w:rPr>
                <w:rFonts w:ascii="Consolas" w:cs="Consolas" w:eastAsia="Consolas" w:hAnsi="Consolas"/>
                <w:color w:val="D4D4D4"/>
                <w:sz w:val="18"/>
                <w:szCs w:val="18"/>
              </w:rPr>
              <w:t xml:space="preserve">   password authentication failed for user "birthday"</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connect as the new, generated credential pair →  Connection SUCCEEDED.</w:t>
            </w:r>
          </w:p>
          <w:p>
            <w:pPr>
              <w:spacing w:after="20"/>
            </w:pPr>
            <w:r>
              <w:rPr>
                <w:rFonts w:ascii="Consolas" w:cs="Consolas" w:eastAsia="Consolas" w:hAnsi="Consolas"/>
                <w:color w:val="D4D4D4"/>
                <w:sz w:val="18"/>
                <w:szCs w:val="18"/>
              </w:rPr>
              <w:t xml:space="preserve">   Row count in "birthdays": 8</w:t>
            </w:r>
          </w:p>
        </w:tc>
      </w:tr>
    </w:tbl>
    <w:p>
      <w:pPr>
        <w:pStyle w:val="Heading2"/>
        <w:spacing w:after="160" w:before="320"/>
      </w:pPr>
      <w:r>
        <w:rPr>
          <w:rFonts w:ascii="Times New Roman" w:cs="Times New Roman" w:eastAsia="Times New Roman" w:hAnsi="Times New Roman"/>
          <w:b/>
          <w:bCs/>
          <w:color w:val="1F3864"/>
          <w:sz w:val="30"/>
          <w:szCs w:val="30"/>
        </w:rPr>
        <w:t xml:space="preserve">A Note on Investigative Process</w:t>
      </w:r>
    </w:p>
    <w:p>
      <w:pPr>
        <w:spacing w:after="160"/>
      </w:pPr>
      <w:r>
        <w:rPr>
          <w:rFonts w:ascii="Times New Roman" w:cs="Times New Roman" w:eastAsia="Times New Roman" w:hAnsi="Times New Roman"/>
          <w:i/>
          <w:iCs/>
          <w:sz w:val="24"/>
          <w:szCs w:val="24"/>
        </w:rPr>
        <w:t xml:space="preserve">During verification of this fix, the application server appeared to fail silently — no error, no crash message, just nothing happening. Investigation traced this to an unrelated, pre-existing bug: a guard intended to let the automated test suite safely import the application without starting a real server compared two representations of the same file path (`import.meta.url`, a forward-slash URL, against `process.argv[1]`, a raw Windows backslash path). The comparison silently failed on Windows through the layers of process-spawning involved in the normal startup command, so the server never actually started — with no error, because nothing had technically thrown an exception. This was diagnosed by adding targeted diagnostic logging, confirmed, and fixed by restructuring the code so the comparison is no longer needed at all, rather than patching the comparison itself. This is exactly the kind of investigative process this assessment aims to surface: the fix that held up under testing was not the first one considered.</w:t>
      </w:r>
    </w:p>
    <w:p>
      <w:pPr>
        <w:pStyle w:val="Heading2"/>
        <w:spacing w:after="160" w:before="320"/>
      </w:pPr>
      <w:r>
        <w:rPr>
          <w:rFonts w:ascii="Times New Roman" w:cs="Times New Roman" w:eastAsia="Times New Roman" w:hAnsi="Times New Roman"/>
          <w:b/>
          <w:bCs/>
          <w:color w:val="1F3864"/>
          <w:sz w:val="30"/>
          <w:szCs w:val="30"/>
        </w:rPr>
        <w:t xml:space="preserve">Automated Regression Coverage</w:t>
      </w:r>
    </w:p>
    <w:p>
      <w:pPr>
        <w:spacing w:after="160"/>
      </w:pPr>
      <w:r>
        <w:rPr>
          <w:rFonts w:ascii="Times New Roman" w:cs="Times New Roman" w:eastAsia="Times New Roman" w:hAnsi="Times New Roman"/>
          <w:sz w:val="24"/>
          <w:szCs w:val="24"/>
        </w:rPr>
        <w:t xml:space="preserve">5 additional automated tests confirm the application refuses to start without real database credentials, using fully isolated child processes (rather than mutating shared environment state) to avoid interfering with other tests — itself a fix applied after an initial version of this test suite was found to leak environment changes between test files.</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Domain 3 Findings &amp; Remediation — Container</w:t>
      </w:r>
    </w:p>
    <w:p>
      <w:pPr>
        <w:pStyle w:val="Heading2"/>
        <w:spacing w:after="160" w:before="320"/>
      </w:pPr>
      <w:r>
        <w:rPr>
          <w:rFonts w:ascii="Times New Roman" w:cs="Times New Roman" w:eastAsia="Times New Roman" w:hAnsi="Times New Roman"/>
          <w:b/>
          <w:bCs/>
          <w:color w:val="1F3864"/>
          <w:sz w:val="30"/>
          <w:szCs w:val="30"/>
        </w:rPr>
        <w:t xml:space="preserve">Finding</w:t>
      </w:r>
    </w:p>
    <w:p>
      <w:pPr>
        <w:spacing w:after="160"/>
      </w:pPr>
      <w:r>
        <w:rPr>
          <w:rFonts w:ascii="Times New Roman" w:cs="Times New Roman" w:eastAsia="Times New Roman" w:hAnsi="Times New Roman"/>
          <w:sz w:val="24"/>
          <w:szCs w:val="24"/>
        </w:rPr>
        <w:t xml:space="preserve">The database container published its port to all network interfaces on the host (0.0.0.0), not just loopback — meaning any other device on the same network segment, not only the machine running the application, could reach it directly. The container also used a floating image tag (`postgres:16-alpine`) rather than a pinned, immutable digest, and had no CPU or memory limits configured.</w:t>
      </w:r>
    </w:p>
    <w:p>
      <w:pPr>
        <w:pStyle w:val="Heading2"/>
        <w:spacing w:after="160" w:before="320"/>
      </w:pPr>
      <w:r>
        <w:rPr>
          <w:rFonts w:ascii="Times New Roman" w:cs="Times New Roman" w:eastAsia="Times New Roman" w:hAnsi="Times New Roman"/>
          <w:b/>
          <w:bCs/>
          <w:color w:val="1F3864"/>
          <w:sz w:val="30"/>
          <w:szCs w:val="30"/>
        </w:rPr>
        <w:t xml:space="preserve">Live "Before" Evidence</w:t>
      </w:r>
    </w:p>
    <w:p>
      <w:pPr>
        <w:spacing w:after="160"/>
      </w:pPr>
      <w:r>
        <w:rPr>
          <w:rFonts w:ascii="Times New Roman" w:cs="Times New Roman" w:eastAsia="Times New Roman" w:hAnsi="Times New Roman"/>
          <w:sz w:val="24"/>
          <w:szCs w:val="24"/>
        </w:rPr>
        <w:t xml:space="preserve">A connection to the database using the machine’s own LAN-facing IP address (not localhost) — proving network reachability without requiring a second physical device, since a 0.0.0.0 bind listens on every interface including the LAN-facing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Connecting to 10.0.0.171:5544 (a LAN-facing address, NOT localhost) ...</w:t>
            </w:r>
          </w:p>
          <w:p>
            <w:pPr>
              <w:spacing w:after="20"/>
            </w:pPr>
            <w:r>
              <w:rPr>
                <w:rFonts w:ascii="Consolas" w:cs="Consolas" w:eastAsia="Consolas" w:hAnsi="Consolas"/>
                <w:color w:val="D4D4D4"/>
                <w:sz w:val="18"/>
                <w:szCs w:val="18"/>
              </w:rPr>
              <w:t xml:space="preserve">Connection SUCCEEDED — the database port is reachable from this</w:t>
            </w:r>
          </w:p>
          <w:p>
            <w:pPr>
              <w:spacing w:after="20"/>
            </w:pPr>
            <w:r>
              <w:rPr>
                <w:rFonts w:ascii="Consolas" w:cs="Consolas" w:eastAsia="Consolas" w:hAnsi="Consolas"/>
                <w:color w:val="D4D4D4"/>
                <w:sz w:val="18"/>
                <w:szCs w:val="18"/>
              </w:rPr>
              <w:t xml:space="preserve">machine's LAN-facing address.</w:t>
            </w:r>
          </w:p>
          <w:p>
            <w:pPr>
              <w:spacing w:after="20"/>
            </w:pPr>
            <w:r>
              <w:rPr>
                <w:rFonts w:ascii="Consolas" w:cs="Consolas" w:eastAsia="Consolas" w:hAnsi="Consolas"/>
                <w:color w:val="D4D4D4"/>
                <w:sz w:val="18"/>
                <w:szCs w:val="18"/>
              </w:rPr>
              <w:t xml:space="preserve">Row count in "birthdays": 8</w:t>
            </w:r>
          </w:p>
        </w:tc>
      </w:tr>
    </w:tbl>
    <w:p>
      <w:pPr>
        <w:pStyle w:val="Heading2"/>
        <w:spacing w:after="160" w:before="320"/>
      </w:pPr>
      <w:r>
        <w:rPr>
          <w:rFonts w:ascii="Times New Roman" w:cs="Times New Roman" w:eastAsia="Times New Roman" w:hAnsi="Times New Roman"/>
          <w:b/>
          <w:bCs/>
          <w:color w:val="1F3864"/>
          <w:sz w:val="30"/>
          <w:szCs w:val="30"/>
        </w:rPr>
        <w:t xml:space="preserve">Remediation</w:t>
      </w:r>
    </w:p>
    <w:p>
      <w:pPr>
        <w:pStyle w:val="ListParagraph"/>
        <w:numPr>
          <w:ilvl w:val="0"/>
          <w:numId w:val="2"/>
        </w:numPr>
        <w:spacing w:after="80"/>
      </w:pPr>
      <w:r>
        <w:rPr>
          <w:rFonts w:ascii="Times New Roman" w:cs="Times New Roman" w:eastAsia="Times New Roman" w:hAnsi="Times New Roman"/>
          <w:b/>
          <w:bCs/>
          <w:sz w:val="24"/>
          <w:szCs w:val="24"/>
        </w:rPr>
        <w:t xml:space="preserve">Port binding: </w:t>
      </w:r>
      <w:r>
        <w:rPr>
          <w:rFonts w:ascii="Times New Roman" w:cs="Times New Roman" w:eastAsia="Times New Roman" w:hAnsi="Times New Roman"/>
          <w:sz w:val="24"/>
          <w:szCs w:val="24"/>
        </w:rPr>
        <w:t xml:space="preserve">changed to 127.0.0.1 only, matching how the port is actually meant to be used (by the API, running on the same host).</w:t>
      </w:r>
    </w:p>
    <w:p>
      <w:pPr>
        <w:pStyle w:val="ListParagraph"/>
        <w:numPr>
          <w:ilvl w:val="0"/>
          <w:numId w:val="2"/>
        </w:numPr>
        <w:spacing w:after="80"/>
      </w:pPr>
      <w:r>
        <w:rPr>
          <w:rFonts w:ascii="Times New Roman" w:cs="Times New Roman" w:eastAsia="Times New Roman" w:hAnsi="Times New Roman"/>
          <w:b/>
          <w:bCs/>
          <w:sz w:val="24"/>
          <w:szCs w:val="24"/>
        </w:rPr>
        <w:t xml:space="preserve">Image pinning: </w:t>
      </w:r>
      <w:r>
        <w:rPr>
          <w:rFonts w:ascii="Times New Roman" w:cs="Times New Roman" w:eastAsia="Times New Roman" w:hAnsi="Times New Roman"/>
          <w:sz w:val="24"/>
          <w:szCs w:val="24"/>
        </w:rPr>
        <w:t xml:space="preserve">pinned to the exact digest that was running during this assessment (captured via `docker inspect`), rather than a mutable tag that could silently point at different image content later.</w:t>
      </w:r>
    </w:p>
    <w:p>
      <w:pPr>
        <w:pStyle w:val="ListParagraph"/>
        <w:numPr>
          <w:ilvl w:val="0"/>
          <w:numId w:val="2"/>
        </w:numPr>
        <w:spacing w:after="80"/>
      </w:pPr>
      <w:r>
        <w:rPr>
          <w:rFonts w:ascii="Times New Roman" w:cs="Times New Roman" w:eastAsia="Times New Roman" w:hAnsi="Times New Roman"/>
          <w:b/>
          <w:bCs/>
          <w:sz w:val="24"/>
          <w:szCs w:val="24"/>
        </w:rPr>
        <w:t xml:space="preserve">Resource limits: </w:t>
      </w:r>
      <w:r>
        <w:rPr>
          <w:rFonts w:ascii="Times New Roman" w:cs="Times New Roman" w:eastAsia="Times New Roman" w:hAnsi="Times New Roman"/>
          <w:sz w:val="24"/>
          <w:szCs w:val="24"/>
        </w:rPr>
        <w:t xml:space="preserve">512MB memory / 1 CPU added, verified applied via `docker inspect` after the change rather than assumed.</w:t>
      </w:r>
    </w:p>
    <w:p>
      <w:pPr>
        <w:pStyle w:val="ListParagraph"/>
        <w:numPr>
          <w:ilvl w:val="0"/>
          <w:numId w:val="2"/>
        </w:numPr>
        <w:spacing w:after="80"/>
      </w:pPr>
      <w:r>
        <w:rPr>
          <w:rFonts w:ascii="Times New Roman" w:cs="Times New Roman" w:eastAsia="Times New Roman" w:hAnsi="Times New Roman"/>
          <w:b/>
          <w:bCs/>
          <w:sz w:val="24"/>
          <w:szCs w:val="24"/>
        </w:rPr>
        <w:t xml:space="preserve">no-new-privileges: </w:t>
      </w:r>
      <w:r>
        <w:rPr>
          <w:rFonts w:ascii="Times New Roman" w:cs="Times New Roman" w:eastAsia="Times New Roman" w:hAnsi="Times New Roman"/>
          <w:sz w:val="24"/>
          <w:szCs w:val="24"/>
        </w:rPr>
        <w:t xml:space="preserve">added — prevents any process in the container from gaining additional privileges even if something inside it were compromised.</w:t>
      </w:r>
    </w:p>
    <w:p>
      <w:pPr>
        <w:pStyle w:val="ListParagraph"/>
        <w:numPr>
          <w:ilvl w:val="0"/>
          <w:numId w:val="2"/>
        </w:numPr>
        <w:spacing w:after="80"/>
      </w:pPr>
      <w:r>
        <w:rPr>
          <w:rFonts w:ascii="Times New Roman" w:cs="Times New Roman" w:eastAsia="Times New Roman" w:hAnsi="Times New Roman"/>
          <w:b/>
          <w:bCs/>
          <w:sz w:val="24"/>
          <w:szCs w:val="24"/>
        </w:rPr>
        <w:t xml:space="preserve">Already secure (confirmed, not a new fix): </w:t>
      </w:r>
      <w:r>
        <w:rPr>
          <w:rFonts w:ascii="Times New Roman" w:cs="Times New Roman" w:eastAsia="Times New Roman" w:hAnsi="Times New Roman"/>
          <w:sz w:val="24"/>
          <w:szCs w:val="24"/>
        </w:rPr>
        <w:t xml:space="preserve">the official Postgres image was confirmed to already run as a non-root user by default — verified rather than assumed, and required no change.</w:t>
      </w:r>
    </w:p>
    <w:p>
      <w:pPr>
        <w:pStyle w:val="Heading2"/>
        <w:spacing w:after="160" w:before="320"/>
      </w:pPr>
      <w:r>
        <w:rPr>
          <w:rFonts w:ascii="Times New Roman" w:cs="Times New Roman" w:eastAsia="Times New Roman" w:hAnsi="Times New Roman"/>
          <w:b/>
          <w:bCs/>
          <w:color w:val="1F3864"/>
          <w:sz w:val="30"/>
          <w:szCs w:val="30"/>
        </w:rPr>
        <w:t xml:space="preserve">Live "After"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8"/>
                <w:szCs w:val="18"/>
              </w:rPr>
              <w:t xml:space="preserve">Connecting to 10.0.0.171:5544 (LAN-facing address) ...</w:t>
            </w:r>
          </w:p>
          <w:p>
            <w:pPr>
              <w:spacing w:after="20"/>
            </w:pPr>
            <w:r>
              <w:rPr>
                <w:rFonts w:ascii="Consolas" w:cs="Consolas" w:eastAsia="Consolas" w:hAnsi="Consolas"/>
                <w:color w:val="D4D4D4"/>
                <w:sz w:val="18"/>
                <w:szCs w:val="18"/>
              </w:rPr>
              <w:t xml:space="preserve">Connection FAILED: connect ECONNREFUSED 10.0.0.171:5544</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Result: the database port is NOT reachable from this LAN-facing address -</w:t>
            </w:r>
          </w:p>
          <w:p>
            <w:pPr>
              <w:spacing w:after="20"/>
            </w:pPr>
            <w:r>
              <w:rPr>
                <w:rFonts w:ascii="Consolas" w:cs="Consolas" w:eastAsia="Consolas" w:hAnsi="Consolas"/>
                <w:color w:val="D4D4D4"/>
                <w:sz w:val="18"/>
                <w:szCs w:val="18"/>
              </w:rPr>
              <w:t xml:space="preserve">only loopback/this-machine traffic can reach it.</w:t>
            </w:r>
          </w:p>
        </w:tc>
      </w:tr>
    </w:tbl>
    <w:p>
      <w:pPr>
        <w:spacing w:after="160"/>
      </w:pPr>
      <w:r>
        <w:rPr>
          <w:rFonts w:ascii="Times New Roman" w:cs="Times New Roman" w:eastAsia="Times New Roman" w:hAnsi="Times New Roman"/>
          <w:sz w:val="24"/>
          <w:szCs w:val="24"/>
        </w:rPr>
        <w:t xml:space="preserve">A follow-up connection via localhost, and a full end-to-end login through the application in the browser, both confirmed the fix did not break legitimate access.</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Verification, Scanner Results &amp; Residual Risk</w:t>
      </w:r>
    </w:p>
    <w:p>
      <w:pPr>
        <w:pStyle w:val="Heading2"/>
        <w:spacing w:after="160" w:before="320"/>
      </w:pPr>
      <w:r>
        <w:rPr>
          <w:rFonts w:ascii="Times New Roman" w:cs="Times New Roman" w:eastAsia="Times New Roman" w:hAnsi="Times New Roman"/>
          <w:b/>
          <w:bCs/>
          <w:color w:val="1F3864"/>
          <w:sz w:val="30"/>
          <w:szCs w:val="30"/>
        </w:rPr>
        <w:t xml:space="preserve">Dependency Vulnerability Scan</w:t>
      </w:r>
    </w:p>
    <w:p>
      <w:pPr>
        <w:spacing w:after="160"/>
      </w:pPr>
      <w:r>
        <w:rPr>
          <w:rFonts w:ascii="Times New Roman" w:cs="Times New Roman" w:eastAsia="Times New Roman" w:hAnsi="Times New Roman"/>
          <w:sz w:val="24"/>
          <w:szCs w:val="24"/>
        </w:rPr>
        <w:t xml:space="preserve">A `npm audit` scan was run across both the client and server after all remediation was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Component</w:t>
            </w:r>
          </w:p>
        </w:tc>
        <w:tc>
          <w:tcPr>
            <w:tcW w:type="dxa" w:w="635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Result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Client</w:t>
            </w:r>
          </w:p>
        </w:tc>
        <w:tc>
          <w:tcPr>
            <w:tcW w:type="dxa" w:w="63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0 vulnerabilities found</w:t>
            </w:r>
          </w:p>
        </w:tc>
      </w:tr>
      <w:tr>
        <w:tc>
          <w:tcPr>
            <w:tcW w:type="dxa" w:w="30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Server</w:t>
            </w:r>
          </w:p>
        </w:tc>
        <w:tc>
          <w:tcPr>
            <w:tcW w:type="dxa" w:w="63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1 moderate-severity advisory (2 affected packages) — see below</w:t>
            </w:r>
          </w:p>
        </w:tc>
      </w:tr>
    </w:tbl>
    <w:p>
      <w:pPr>
        <w:spacing w:after="160"/>
      </w:pPr>
      <w:r>
        <w:rPr>
          <w:rFonts w:ascii="Times New Roman" w:cs="Times New Roman" w:eastAsia="Times New Roman" w:hAnsi="Times New Roman"/>
          <w:sz w:val="24"/>
          <w:szCs w:val="24"/>
        </w:rPr>
        <w:t xml:space="preserve">The one server-side finding is in `@vitest/mocker`, a transitive dependency of Vitest — a dev-only dependency used exclusively by the automated test suite and never installed, imported, or run as part of the deployed application. A fix is available but requires a breaking major-version upgrade of the test framework, which was not taken in this pass to avoid destabilizing the now fully-passing 21-test regression suite. Disposition: accepted, low actual risk, tracked as follow-up work rather than ignored.</w:t>
      </w:r>
    </w:p>
    <w:p>
      <w:pPr>
        <w:pStyle w:val="Heading2"/>
        <w:spacing w:after="160" w:before="320"/>
      </w:pPr>
      <w:r>
        <w:rPr>
          <w:rFonts w:ascii="Times New Roman" w:cs="Times New Roman" w:eastAsia="Times New Roman" w:hAnsi="Times New Roman"/>
          <w:b/>
          <w:bCs/>
          <w:color w:val="1F3864"/>
          <w:sz w:val="30"/>
          <w:szCs w:val="30"/>
        </w:rPr>
        <w:t xml:space="preserve">Automated Regression Suite</w:t>
      </w:r>
    </w:p>
    <w:p>
      <w:pPr>
        <w:spacing w:after="160"/>
      </w:pPr>
      <w:r>
        <w:rPr>
          <w:rFonts w:ascii="Times New Roman" w:cs="Times New Roman" w:eastAsia="Times New Roman" w:hAnsi="Times New Roman"/>
          <w:sz w:val="24"/>
          <w:szCs w:val="24"/>
        </w:rPr>
        <w:t xml:space="preserve">21 automated tests (Vitest + Supertest) run across Domains 1 and 2, all passing as of the final commit of this assessment. Every fix was additionally confirmed by hand through the running application in a browser, not just through automated tests.</w:t>
      </w:r>
    </w:p>
    <w:p>
      <w:pPr>
        <w:pStyle w:val="Heading2"/>
        <w:spacing w:after="160" w:before="320"/>
      </w:pPr>
      <w:r>
        <w:rPr>
          <w:rFonts w:ascii="Times New Roman" w:cs="Times New Roman" w:eastAsia="Times New Roman" w:hAnsi="Times New Roman"/>
          <w:b/>
          <w:bCs/>
          <w:color w:val="1F3864"/>
          <w:sz w:val="30"/>
          <w:szCs w:val="30"/>
        </w:rPr>
        <w:t xml:space="preserve">Residual Risk Statement</w:t>
      </w:r>
    </w:p>
    <w:p>
      <w:pPr>
        <w:spacing w:after="160"/>
      </w:pPr>
      <w:r>
        <w:rPr>
          <w:rFonts w:ascii="Times New Roman" w:cs="Times New Roman" w:eastAsia="Times New Roman" w:hAnsi="Times New Roman"/>
          <w:sz w:val="24"/>
          <w:szCs w:val="24"/>
        </w:rPr>
        <w:t xml:space="preserve">The following items were identified, evaluated, and deliberately not remediated in this pass. Each is a conscious scoping decision, not an oversight: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50"/>
      </w:tblGrid>
      <w:tr>
        <w:trPr>
          <w:tblHeader/>
        </w:trPr>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Item</w:t>
            </w:r>
          </w:p>
        </w:tc>
        <w:tc>
          <w:tcPr>
            <w:tcW w:type="dxa" w:w="13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Domain</w:t>
            </w:r>
          </w:p>
        </w:tc>
        <w:tc>
          <w:tcPr>
            <w:tcW w:type="dxa" w:w="545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Reasoning</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Session tokens (JWTs) are not revoked server-side</w:t>
            </w:r>
          </w:p>
        </w:tc>
        <w:tc>
          <w:tcPr>
            <w:tcW w:type="dxa" w:w="13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c>
          <w:tcPr>
            <w:tcW w:type="dxa" w:w="54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Logout clears the browser cookie, but the token itself remains cryptographically valid until its 1-hour expiry. Observed directly: an already-issued token remained valid even after the referenced user record was deleted from the database, since validity is checked by signature alone. A production deployment would need short-lived tokens with refresh, or a server-side session/denylist store.</w:t>
            </w:r>
          </w:p>
        </w:tc>
      </w:tr>
      <w:tr>
        <w:tc>
          <w:tcPr>
            <w:tcW w:type="dxa" w:w="26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true pagination</w:t>
            </w:r>
          </w:p>
        </w:tc>
        <w:tc>
          <w:tcPr>
            <w:tcW w:type="dxa" w:w="13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c>
          <w:tcPr>
            <w:tcW w:type="dxa" w:w="54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 hard row cap was used instead, to avoid breaking the client’s existing architecture (which loads the full dataset once for instant client-side search). Fine at current scale; would need a client rework before a few thousand records.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database privilege separation</w:t>
            </w:r>
          </w:p>
        </w:tc>
        <w:tc>
          <w:tcPr>
            <w:tcW w:type="dxa" w:w="13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w:t>
            </w:r>
          </w:p>
        </w:tc>
        <w:tc>
          <w:tcPr>
            <w:tcW w:type="dxa" w:w="54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The API’s database role can still alter or drop tables, not just read/write rows. A proper fix needs a second, lower-privileged runtime role provisioned separately from the schema-initialization role — a real architecture change, not a small patch.</w:t>
            </w:r>
          </w:p>
        </w:tc>
      </w:tr>
      <w:tr>
        <w:tc>
          <w:tcPr>
            <w:tcW w:type="dxa" w:w="26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encryption at rest for PII columns</w:t>
            </w:r>
          </w:p>
        </w:tc>
        <w:tc>
          <w:tcPr>
            <w:tcW w:type="dxa" w:w="13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Database</w:t>
            </w:r>
          </w:p>
        </w:tc>
        <w:tc>
          <w:tcPr>
            <w:tcW w:type="dxa" w:w="54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The database extension needed is already available, but applying it raises real key-management questions (where the encryption key lives, how it is rotated) that go beyond what this local development context can meaningfully model.</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No read-only container filesystem</w:t>
            </w:r>
          </w:p>
        </w:tc>
        <w:tc>
          <w:tcPr>
            <w:tcW w:type="dxa" w:w="13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Container</w:t>
            </w:r>
          </w:p>
        </w:tc>
        <w:tc>
          <w:tcPr>
            <w:tcW w:type="dxa" w:w="54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 database engine legitimately needs to write outside its data volume (temp files, socket, PID file); doing this correctly requires precisely-scoped exceptions that were judged too easy to get subtly wrong without the ability to iterate on a live running container directly.</w:t>
            </w:r>
          </w:p>
        </w:tc>
      </w:tr>
      <w:tr>
        <w:tc>
          <w:tcPr>
            <w:tcW w:type="dxa" w:w="26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Dev-only dependency advisory</w:t>
            </w:r>
          </w:p>
        </w:tc>
        <w:tc>
          <w:tcPr>
            <w:tcW w:type="dxa" w:w="130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Tooling</w:t>
            </w:r>
          </w:p>
        </w:tc>
        <w:tc>
          <w:tcPr>
            <w:tcW w:type="dxa" w:w="5450"/>
            <w:shd w:fill="EFEFEF" w:val="clear"/>
            <w:tcMar>
              <w:top w:type="dxa" w:w="80"/>
              <w:left w:type="dxa" w:w="100"/>
              <w:bottom w:type="dxa" w:w="80"/>
              <w:right w:type="dxa" w:w="100"/>
            </w:tcMar>
            <w:vAlign w:val="center"/>
          </w:tcPr>
          <w:p>
            <w:r>
              <w:rPr>
                <w:rFonts w:ascii="Times New Roman" w:cs="Times New Roman" w:eastAsia="Times New Roman" w:hAnsi="Times New Roman"/>
                <w:sz w:val="20"/>
                <w:szCs w:val="20"/>
              </w:rPr>
              <w:t xml:space="preserve">Moderate-severity advisory in the test framework’s dependency tree; never shipped in the deployed application. See Scanner Results above.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Health-check endpoint discloses the database name</w:t>
            </w:r>
          </w:p>
        </w:tc>
        <w:tc>
          <w:tcPr>
            <w:tcW w:type="dxa" w:w="130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API</w:t>
            </w:r>
          </w:p>
        </w:tc>
        <w:tc>
          <w:tcPr>
            <w:tcW w:type="dxa" w:w="5450"/>
            <w:tcMar>
              <w:top w:type="dxa" w:w="80"/>
              <w:left w:type="dxa" w:w="100"/>
              <w:bottom w:type="dxa" w:w="80"/>
              <w:right w:type="dxa" w:w="100"/>
            </w:tcMar>
            <w:vAlign w:val="center"/>
          </w:tcPr>
          <w:p>
            <w:r>
              <w:rPr>
                <w:rFonts w:ascii="Times New Roman" w:cs="Times New Roman" w:eastAsia="Times New Roman" w:hAnsi="Times New Roman"/>
                <w:sz w:val="20"/>
                <w:szCs w:val="20"/>
              </w:rPr>
              <w:t xml:space="preserve">Intentionally left unauthenticated so external monitoring tooling can check it without credentials; its response includes the database name. Low risk (not a credential), noted for completeness.</w:t>
            </w:r>
          </w:p>
        </w:tc>
      </w:tr>
    </w:tbl>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Investigative Process &amp; Lessons Learned</w:t>
      </w:r>
    </w:p>
    <w:p>
      <w:pPr>
        <w:spacing w:after="160"/>
      </w:pPr>
      <w:r>
        <w:rPr>
          <w:rFonts w:ascii="Times New Roman" w:cs="Times New Roman" w:eastAsia="Times New Roman" w:hAnsi="Times New Roman"/>
          <w:sz w:val="24"/>
          <w:szCs w:val="24"/>
        </w:rPr>
        <w:t xml:space="preserve">Per the assignment’s framing, the troubleshooting encountered during this assessment is itself part of the investigation, not something to be cleaned out of the record. Several incidents are worth calling out specifically because they reflect real incident-response-relevant skills — forming a hypothesis, testing it, and following evidence rather than assumption:</w:t>
      </w:r>
    </w:p>
    <w:p>
      <w:pPr>
        <w:pStyle w:val="Heading3"/>
        <w:spacing w:after="120" w:before="200"/>
      </w:pPr>
      <w:r>
        <w:rPr>
          <w:rFonts w:ascii="Times New Roman" w:cs="Times New Roman" w:eastAsia="Times New Roman" w:hAnsi="Times New Roman"/>
          <w:b/>
          <w:bCs/>
          <w:sz w:val="26"/>
          <w:szCs w:val="26"/>
        </w:rPr>
        <w:t xml:space="preserve">The silent server failure (Domain 2)</w:t>
      </w:r>
    </w:p>
    <w:p>
      <w:pPr>
        <w:spacing w:after="160"/>
      </w:pPr>
      <w:r>
        <w:rPr>
          <w:rFonts w:ascii="Times New Roman" w:cs="Times New Roman" w:eastAsia="Times New Roman" w:hAnsi="Times New Roman"/>
          <w:sz w:val="24"/>
          <w:szCs w:val="24"/>
        </w:rPr>
        <w:t xml:space="preserve">Described in detail in the Domain 2 section above. The investigative sequence: the server appeared to hang or crash with zero output across multiple attempts (through `npm run dev`, through `node --watch`, and even redirected to a log file, which is a well-known Windows console-truncation trap that was ruled out first). The breakthrough came from adding targeted diagnostic logging rather than continuing to guess, which revealed the actual root cause (a fragile Windows file-path string comparison) in a single test. The fix addressed the underlying design flaw — removing the need for that comparison entirely — rather than patching the comparison itself.</w:t>
      </w:r>
    </w:p>
    <w:p>
      <w:pPr>
        <w:pStyle w:val="Heading3"/>
        <w:spacing w:after="120" w:before="200"/>
      </w:pPr>
      <w:r>
        <w:rPr>
          <w:rFonts w:ascii="Times New Roman" w:cs="Times New Roman" w:eastAsia="Times New Roman" w:hAnsi="Times New Roman"/>
          <w:b/>
          <w:bCs/>
          <w:sz w:val="26"/>
          <w:szCs w:val="26"/>
        </w:rPr>
        <w:t xml:space="preserve">PowerShell / native-tool argument quoting</w:t>
      </w:r>
    </w:p>
    <w:p>
      <w:pPr>
        <w:spacing w:after="160"/>
      </w:pPr>
      <w:r>
        <w:rPr>
          <w:rFonts w:ascii="Times New Roman" w:cs="Times New Roman" w:eastAsia="Times New Roman" w:hAnsi="Times New Roman"/>
          <w:sz w:val="24"/>
          <w:szCs w:val="24"/>
        </w:rPr>
        <w:t xml:space="preserve">Early API testing scripts intermittently returned server errors on POST requests. The cause was PowerShell mangling embedded double-quotes when a JSON string was passed inline to `curl.exe` (a native executable, not a PowerShell cmdlet, so PowerShell’s own quoting rules don’t map cleanly). The reliable fix — used throughout the rest of this assessment’s test scripts — was writing JSON payloads to a temporary file first and referencing that file (`curl.exe -d "@file.json"`) instead of passing JSON inline.</w:t>
      </w:r>
    </w:p>
    <w:p>
      <w:pPr>
        <w:pStyle w:val="Heading3"/>
        <w:spacing w:after="120" w:before="200"/>
      </w:pPr>
      <w:r>
        <w:rPr>
          <w:rFonts w:ascii="Times New Roman" w:cs="Times New Roman" w:eastAsia="Times New Roman" w:hAnsi="Times New Roman"/>
          <w:b/>
          <w:bCs/>
          <w:sz w:val="26"/>
          <w:szCs w:val="26"/>
        </w:rPr>
        <w:t xml:space="preserve">Environment/tooling friction (Windows/Linux cross-platform installs)</w:t>
      </w:r>
    </w:p>
    <w:p>
      <w:pPr>
        <w:spacing w:after="160"/>
      </w:pPr>
      <w:r>
        <w:rPr>
          <w:rFonts w:ascii="Times New Roman" w:cs="Times New Roman" w:eastAsia="Times New Roman" w:hAnsi="Times New Roman"/>
          <w:sz w:val="24"/>
          <w:szCs w:val="24"/>
        </w:rPr>
        <w:t xml:space="preserve">Several early setup steps (a missing `concurrently` command shim, a native `argon2` module needing an explicit rebuild step, an npm global configuration setting blocking install scripts) traced back to the same root cause: packages installed in one environment don’t always carry over cleanly to another. Each was resolved by re-running the installation step directly in the target environment rather than attempting a partial workaround, and is documented in the corresponding domain’s commit history.</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AI Assistance &amp; Prompts</w:t>
      </w:r>
    </w:p>
    <w:p>
      <w:pPr>
        <w:spacing w:after="160"/>
      </w:pPr>
      <w:r>
        <w:rPr>
          <w:rFonts w:ascii="Times New Roman" w:cs="Times New Roman" w:eastAsia="Times New Roman" w:hAnsi="Times New Roman"/>
          <w:sz w:val="24"/>
          <w:szCs w:val="24"/>
        </w:rPr>
        <w:t xml:space="preserve">AI assistance (Claude) was used throughout this assessment as an implementation and analysis aid, under the assignment’s explicit permission to do so. Per that same requirement, this section documents how it was used and includes real, verbatim prompts rather than a paraphrased summary — the goal is to make clear where direction and decisions came from, and how AI output was verified rather than trusted blindly.</w:t>
      </w:r>
    </w:p>
    <w:p>
      <w:pPr>
        <w:pStyle w:val="Heading2"/>
        <w:spacing w:after="160" w:before="320"/>
      </w:pPr>
      <w:r>
        <w:rPr>
          <w:rFonts w:ascii="Times New Roman" w:cs="Times New Roman" w:eastAsia="Times New Roman" w:hAnsi="Times New Roman"/>
          <w:b/>
          <w:bCs/>
          <w:color w:val="1F3864"/>
          <w:sz w:val="30"/>
          <w:szCs w:val="30"/>
        </w:rPr>
        <w:t xml:space="preserve">How AI was used</w:t>
      </w:r>
    </w:p>
    <w:p>
      <w:pPr>
        <w:pStyle w:val="ListParagraph"/>
        <w:numPr>
          <w:ilvl w:val="0"/>
          <w:numId w:val="2"/>
        </w:numPr>
        <w:spacing w:after="80"/>
      </w:pPr>
      <w:r>
        <w:rPr>
          <w:rFonts w:ascii="Times New Roman" w:cs="Times New Roman" w:eastAsia="Times New Roman" w:hAnsi="Times New Roman"/>
          <w:sz w:val="24"/>
          <w:szCs w:val="24"/>
        </w:rPr>
        <w:t xml:space="preserve">Drafting remediation code (authentication middleware, Docker Compose changes, test scripts) from an explained plan, which was then reviewed and, in several cases, corrected before being run.</w:t>
      </w:r>
    </w:p>
    <w:p>
      <w:pPr>
        <w:pStyle w:val="ListParagraph"/>
        <w:numPr>
          <w:ilvl w:val="0"/>
          <w:numId w:val="2"/>
        </w:numPr>
        <w:spacing w:after="80"/>
      </w:pPr>
      <w:r>
        <w:rPr>
          <w:rFonts w:ascii="Times New Roman" w:cs="Times New Roman" w:eastAsia="Times New Roman" w:hAnsi="Times New Roman"/>
          <w:sz w:val="24"/>
          <w:szCs w:val="24"/>
        </w:rPr>
        <w:t xml:space="preserve">Diagnosing failures by reasoning from pasted error output and live test results — every diagnosis was then verified against a real, reproducible test rather than accepted on its own.</w:t>
      </w:r>
    </w:p>
    <w:p>
      <w:pPr>
        <w:pStyle w:val="ListParagraph"/>
        <w:numPr>
          <w:ilvl w:val="0"/>
          <w:numId w:val="2"/>
        </w:numPr>
        <w:spacing w:after="80"/>
      </w:pPr>
      <w:r>
        <w:rPr>
          <w:rFonts w:ascii="Times New Roman" w:cs="Times New Roman" w:eastAsia="Times New Roman" w:hAnsi="Times New Roman"/>
          <w:sz w:val="24"/>
          <w:szCs w:val="24"/>
        </w:rPr>
        <w:t xml:space="preserve">Writing the documentation artifacts themselves (threat model, domain write-ups, this report) from the assessment’s actual evidence, not from assumption.</w:t>
      </w:r>
    </w:p>
    <w:p>
      <w:pPr>
        <w:pStyle w:val="Heading2"/>
        <w:spacing w:after="160" w:before="320"/>
      </w:pPr>
      <w:r>
        <w:rPr>
          <w:rFonts w:ascii="Times New Roman" w:cs="Times New Roman" w:eastAsia="Times New Roman" w:hAnsi="Times New Roman"/>
          <w:b/>
          <w:bCs/>
          <w:color w:val="1F3864"/>
          <w:sz w:val="30"/>
          <w:szCs w:val="30"/>
        </w:rPr>
        <w:t xml:space="preserve">Strategic decisions made by the assessor, not the AI</w:t>
      </w:r>
    </w:p>
    <w:p>
      <w:pPr>
        <w:spacing w:after="160"/>
      </w:pPr>
      <w:r>
        <w:rPr>
          <w:rFonts w:ascii="Times New Roman" w:cs="Times New Roman" w:eastAsia="Times New Roman" w:hAnsi="Times New Roman"/>
          <w:sz w:val="24"/>
          <w:szCs w:val="24"/>
        </w:rPr>
        <w:t xml:space="preserve">The AI proposed options and technical tradeoffs; the following decisions were made explicitly by the assessor:</w:t>
      </w:r>
    </w:p>
    <w:p>
      <w:pPr>
        <w:pStyle w:val="ListParagraph"/>
        <w:numPr>
          <w:ilvl w:val="0"/>
          <w:numId w:val="2"/>
        </w:numPr>
        <w:spacing w:after="80"/>
      </w:pPr>
      <w:r>
        <w:rPr>
          <w:rFonts w:ascii="Times New Roman" w:cs="Times New Roman" w:eastAsia="Times New Roman" w:hAnsi="Times New Roman"/>
          <w:i/>
          <w:iCs/>
          <w:sz w:val="24"/>
          <w:szCs w:val="24"/>
        </w:rPr>
        <w:t xml:space="preserve">Choosing Track B (remediation) over Track A (red team): </w:t>
      </w:r>
      <w:r>
        <w:rPr>
          <w:rFonts w:ascii="Times New Roman" w:cs="Times New Roman" w:eastAsia="Times New Roman" w:hAnsi="Times New Roman"/>
          <w:b/>
          <w:bCs/>
          <w:i/>
          <w:iCs/>
          <w:sz w:val="24"/>
          <w:szCs w:val="24"/>
        </w:rPr>
        <w:t xml:space="preserve">“Because of my career choice it might be best to go with the engineer fixing things.”</w:t>
      </w:r>
    </w:p>
    <w:p>
      <w:pPr>
        <w:pStyle w:val="ListParagraph"/>
        <w:numPr>
          <w:ilvl w:val="0"/>
          <w:numId w:val="2"/>
        </w:numPr>
        <w:spacing w:after="80"/>
      </w:pPr>
      <w:r>
        <w:rPr>
          <w:rFonts w:ascii="Times New Roman" w:cs="Times New Roman" w:eastAsia="Times New Roman" w:hAnsi="Times New Roman"/>
          <w:i/>
          <w:iCs/>
          <w:sz w:val="24"/>
          <w:szCs w:val="24"/>
        </w:rPr>
        <w:t xml:space="preserve">Choosing the authentication mechanism, from a set of proposed options: </w:t>
      </w:r>
      <w:r>
        <w:rPr>
          <w:rFonts w:ascii="Times New Roman" w:cs="Times New Roman" w:eastAsia="Times New Roman" w:hAnsi="Times New Roman"/>
          <w:b/>
          <w:bCs/>
          <w:i/>
          <w:iCs/>
          <w:sz w:val="24"/>
          <w:szCs w:val="24"/>
        </w:rPr>
        <w:t xml:space="preserve">“Username/password login + JWT (Recommended)” — selected from a multiple-choice design decision presented before any authentication code was written.</w:t>
      </w:r>
    </w:p>
    <w:p>
      <w:pPr>
        <w:pStyle w:val="ListParagraph"/>
        <w:numPr>
          <w:ilvl w:val="0"/>
          <w:numId w:val="2"/>
        </w:numPr>
        <w:spacing w:after="80"/>
      </w:pPr>
      <w:r>
        <w:rPr>
          <w:rFonts w:ascii="Times New Roman" w:cs="Times New Roman" w:eastAsia="Times New Roman" w:hAnsi="Times New Roman"/>
          <w:i/>
          <w:iCs/>
          <w:sz w:val="24"/>
          <w:szCs w:val="24"/>
        </w:rPr>
        <w:t xml:space="preserve">Choosing to keep the full 3-domain scope rather than narrow it, after the course instructor clarified that not every vulnerability needed to be fixed: </w:t>
      </w:r>
      <w:r>
        <w:rPr>
          <w:rFonts w:ascii="Times New Roman" w:cs="Times New Roman" w:eastAsia="Times New Roman" w:hAnsi="Times New Roman"/>
          <w:b/>
          <w:bCs/>
          <w:i/>
          <w:iCs/>
          <w:sz w:val="24"/>
          <w:szCs w:val="24"/>
        </w:rPr>
        <w:t xml:space="preserve">“Keep the full 3-domain plan (Recommended)”</w:t>
      </w:r>
    </w:p>
    <w:p>
      <w:pPr>
        <w:pStyle w:val="ListParagraph"/>
        <w:numPr>
          <w:ilvl w:val="0"/>
          <w:numId w:val="2"/>
        </w:numPr>
        <w:spacing w:after="80"/>
      </w:pPr>
      <w:r>
        <w:rPr>
          <w:rFonts w:ascii="Times New Roman" w:cs="Times New Roman" w:eastAsia="Times New Roman" w:hAnsi="Times New Roman"/>
          <w:i/>
          <w:iCs/>
          <w:sz w:val="24"/>
          <w:szCs w:val="24"/>
        </w:rPr>
        <w:t xml:space="preserve">Directing continued progress at multiple checkpoints throughout the assessment: </w:t>
      </w:r>
      <w:r>
        <w:rPr>
          <w:rFonts w:ascii="Times New Roman" w:cs="Times New Roman" w:eastAsia="Times New Roman" w:hAnsi="Times New Roman"/>
          <w:b/>
          <w:bCs/>
          <w:i/>
          <w:iCs/>
          <w:sz w:val="24"/>
          <w:szCs w:val="24"/>
        </w:rPr>
        <w:t xml:space="preserve">“Alright let’s get to work.” / “Let’s keep going.” / “Alright I’m back let’s finish this.”</w:t>
      </w:r>
    </w:p>
    <w:p>
      <w:pPr>
        <w:pStyle w:val="ListParagraph"/>
        <w:numPr>
          <w:ilvl w:val="0"/>
          <w:numId w:val="2"/>
        </w:numPr>
        <w:spacing w:after="80"/>
      </w:pPr>
      <w:r>
        <w:rPr>
          <w:rFonts w:ascii="Times New Roman" w:cs="Times New Roman" w:eastAsia="Times New Roman" w:hAnsi="Times New Roman"/>
          <w:i/>
          <w:iCs/>
          <w:sz w:val="24"/>
          <w:szCs w:val="24"/>
        </w:rPr>
        <w:t xml:space="preserve">Adjusting the working process mid-assessment for clarity: </w:t>
      </w:r>
      <w:r>
        <w:rPr>
          <w:rFonts w:ascii="Times New Roman" w:cs="Times New Roman" w:eastAsia="Times New Roman" w:hAnsi="Times New Roman"/>
          <w:b/>
          <w:bCs/>
          <w:i/>
          <w:iCs/>
          <w:sz w:val="24"/>
          <w:szCs w:val="24"/>
        </w:rPr>
        <w:t xml:space="preserve">“Can you paste commands one at a time so I can run them properly?” — adopted for the remainder of the engagement.</w:t>
      </w:r>
    </w:p>
    <w:p>
      <w:pPr>
        <w:pStyle w:val="Heading2"/>
        <w:spacing w:after="160" w:before="320"/>
      </w:pPr>
      <w:r>
        <w:rPr>
          <w:rFonts w:ascii="Times New Roman" w:cs="Times New Roman" w:eastAsia="Times New Roman" w:hAnsi="Times New Roman"/>
          <w:b/>
          <w:bCs/>
          <w:color w:val="1F3864"/>
          <w:sz w:val="30"/>
          <w:szCs w:val="30"/>
        </w:rPr>
        <w:t xml:space="preserve">Verification discipline applied to AI output</w:t>
      </w:r>
    </w:p>
    <w:p>
      <w:pPr>
        <w:spacing w:after="160"/>
      </w:pPr>
      <w:r>
        <w:rPr>
          <w:rFonts w:ascii="Times New Roman" w:cs="Times New Roman" w:eastAsia="Times New Roman" w:hAnsi="Times New Roman"/>
          <w:sz w:val="24"/>
          <w:szCs w:val="24"/>
        </w:rPr>
        <w:t xml:space="preserve">Every command that touched the running application, the database, or Docker was executed by the assessor personally, in their own terminal, with the real output pasted back — the AI never had direct access to the running application, database, or Docker daemon. This produced the actual investigative back-and-forth described in the Lessons Learned section: when AI-suggested diagnoses were wrong or incomplete (for example, an initial assumption that a port conflict explained the silent server failure), the real terminal output that followed disproved it, and the investigation continued from there rather than stopping at the first plausible explanation. At least one AI-authored mistake was caught and self-corrected before being presented as finished: an over-built pagination change was recognized, before being handed off for testing, as architecturally inconsistent with the existing client and was replaced with a simpler, explicitly-justified fix (documented in the Domain 1 section above). AI-drafted test assertions were also found to be wrong at least once (an assumed HTTP status code that didn’t match the application’s actual, more-correct behavior) and were corrected against the real application’s behavior rather than the other way around.</w:t>
      </w:r>
    </w:p>
    <w:p>
      <w:pPr>
        <w:pStyle w:val="Heading2"/>
        <w:spacing w:after="160" w:before="320"/>
      </w:pPr>
      <w:r>
        <w:rPr>
          <w:rFonts w:ascii="Times New Roman" w:cs="Times New Roman" w:eastAsia="Times New Roman" w:hAnsi="Times New Roman"/>
          <w:b/>
          <w:bCs/>
          <w:color w:val="1F3864"/>
          <w:sz w:val="30"/>
          <w:szCs w:val="30"/>
        </w:rPr>
        <w:t xml:space="preserve">What was learned from this AI-assisted process</w:t>
      </w:r>
    </w:p>
    <w:p>
      <w:pPr>
        <w:spacing w:after="160"/>
      </w:pPr>
      <w:r>
        <w:rPr>
          <w:rFonts w:ascii="Times New Roman" w:cs="Times New Roman" w:eastAsia="Times New Roman" w:hAnsi="Times New Roman"/>
          <w:sz w:val="24"/>
          <w:szCs w:val="24"/>
        </w:rPr>
        <w:t xml:space="preserve">The clearest lesson was that AI assistance sped up implementation and first-pass diagnosis, but every finding in this report that matters — every vulnerability and every fix — only became trustworthy once it was proven against the real, running application. Several of the most useful moments in this assessment came from a live test disagreeing with an initial hypothesis (the SQL injection test that came back negative; the silent server failure that wasn’t a port conflict; the pagination approach that would have broken the client) — exactly the discipline this assignment is meant to build, and one that held up whether the initial hypothesis came from a human or an AI.</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Recommendations &amp; Future Work</w:t>
      </w:r>
    </w:p>
    <w:p>
      <w:pPr>
        <w:spacing w:after="160"/>
      </w:pPr>
      <w:r>
        <w:rPr>
          <w:rFonts w:ascii="Times New Roman" w:cs="Times New Roman" w:eastAsia="Times New Roman" w:hAnsi="Times New Roman"/>
          <w:sz w:val="24"/>
          <w:szCs w:val="24"/>
        </w:rPr>
        <w:t xml:space="preserve">In priority order, building on the residual risk statement above:</w:t>
      </w:r>
    </w:p>
    <w:p>
      <w:pPr>
        <w:pStyle w:val="ListParagraph"/>
        <w:numPr>
          <w:ilvl w:val="0"/>
          <w:numId w:val="4"/>
        </w:numPr>
        <w:spacing w:after="100"/>
      </w:pPr>
      <w:r>
        <w:rPr>
          <w:rFonts w:ascii="Times New Roman" w:cs="Times New Roman" w:eastAsia="Times New Roman" w:hAnsi="Times New Roman"/>
          <w:sz w:val="24"/>
          <w:szCs w:val="24"/>
        </w:rPr>
        <w:t xml:space="preserve">Implement server-side session revocation (short-lived tokens with refresh, or a session store) so logout — and a compromised or wiped account — actually invalidates access immediately rather than waiting out a token’s remaining lifetime.</w:t>
      </w:r>
    </w:p>
    <w:p>
      <w:pPr>
        <w:pStyle w:val="ListParagraph"/>
        <w:numPr>
          <w:ilvl w:val="0"/>
          <w:numId w:val="4"/>
        </w:numPr>
        <w:spacing w:after="100"/>
      </w:pPr>
      <w:r>
        <w:rPr>
          <w:rFonts w:ascii="Times New Roman" w:cs="Times New Roman" w:eastAsia="Times New Roman" w:hAnsi="Times New Roman"/>
          <w:sz w:val="24"/>
          <w:szCs w:val="24"/>
        </w:rPr>
        <w:t xml:space="preserve">Introduce database-level privilege separation: a schema-owning role for initialization, and a separate, minimally-privileged role for the application’s day-to-day queries.</w:t>
      </w:r>
    </w:p>
    <w:p>
      <w:pPr>
        <w:pStyle w:val="ListParagraph"/>
        <w:numPr>
          <w:ilvl w:val="0"/>
          <w:numId w:val="4"/>
        </w:numPr>
        <w:spacing w:after="100"/>
      </w:pPr>
      <w:r>
        <w:rPr>
          <w:rFonts w:ascii="Times New Roman" w:cs="Times New Roman" w:eastAsia="Times New Roman" w:hAnsi="Times New Roman"/>
          <w:sz w:val="24"/>
          <w:szCs w:val="24"/>
        </w:rPr>
        <w:t xml:space="preserve">Evaluate encryption at rest for PII columns as part of a broader key-management design, rather than as an isolated column-level change.</w:t>
      </w:r>
    </w:p>
    <w:p>
      <w:pPr>
        <w:pStyle w:val="ListParagraph"/>
        <w:numPr>
          <w:ilvl w:val="0"/>
          <w:numId w:val="4"/>
        </w:numPr>
        <w:spacing w:after="100"/>
      </w:pPr>
      <w:r>
        <w:rPr>
          <w:rFonts w:ascii="Times New Roman" w:cs="Times New Roman" w:eastAsia="Times New Roman" w:hAnsi="Times New Roman"/>
          <w:sz w:val="24"/>
          <w:szCs w:val="24"/>
        </w:rPr>
        <w:t xml:space="preserve">Implement true pagination if the dataset is expected to grow meaningfully beyond its current scale, alongside the corresponding client-side rework.</w:t>
      </w:r>
    </w:p>
    <w:p>
      <w:pPr>
        <w:pStyle w:val="ListParagraph"/>
        <w:numPr>
          <w:ilvl w:val="0"/>
          <w:numId w:val="4"/>
        </w:numPr>
        <w:spacing w:after="100"/>
      </w:pPr>
      <w:r>
        <w:rPr>
          <w:rFonts w:ascii="Times New Roman" w:cs="Times New Roman" w:eastAsia="Times New Roman" w:hAnsi="Times New Roman"/>
          <w:sz w:val="24"/>
          <w:szCs w:val="24"/>
        </w:rPr>
        <w:t xml:space="preserve">Add tmpfs-scoped read-only root filesystem hardening to the database container once it can be iterated on and verified against a live instance.</w:t>
      </w:r>
    </w:p>
    <w:p>
      <w:pPr>
        <w:pStyle w:val="ListParagraph"/>
        <w:numPr>
          <w:ilvl w:val="0"/>
          <w:numId w:val="4"/>
        </w:numPr>
        <w:spacing w:after="100"/>
      </w:pPr>
      <w:r>
        <w:rPr>
          <w:rFonts w:ascii="Times New Roman" w:cs="Times New Roman" w:eastAsia="Times New Roman" w:hAnsi="Times New Roman"/>
          <w:sz w:val="24"/>
          <w:szCs w:val="24"/>
        </w:rPr>
        <w:t xml:space="preserve">Schedule the Vitest major-version upgrade to close the one outstanding dependency advisory, once compatibility with the existing regression suite can be confirmed.</w:t>
      </w:r>
    </w:p>
    <w:p>
      <w:pPr>
        <w:pStyle w:val="Heading1"/>
        <w:pBdr>
          <w:bottom w:val="single" w:color="1F3864" w:sz="6" w:space="4"/>
        </w:pBdr>
        <w:spacing w:after="240" w:before="0"/>
      </w:pPr>
      <w:r>
        <w:r>
          <w:br w:type="page"/>
        </w:r>
      </w:r>
      <w:r>
        <w:rPr>
          <w:rFonts w:ascii="Times New Roman" w:cs="Times New Roman" w:eastAsia="Times New Roman" w:hAnsi="Times New Roman"/>
          <w:b/>
          <w:bCs/>
          <w:color w:val="1F3864"/>
          <w:sz w:val="36"/>
          <w:szCs w:val="36"/>
        </w:rPr>
        <w:t xml:space="preserve">Conclusion</w:t>
      </w:r>
    </w:p>
    <w:p>
      <w:pPr>
        <w:spacing w:after="160"/>
      </w:pPr>
      <w:r>
        <w:rPr>
          <w:rFonts w:ascii="Times New Roman" w:cs="Times New Roman" w:eastAsia="Times New Roman" w:hAnsi="Times New Roman"/>
          <w:sz w:val="24"/>
          <w:szCs w:val="24"/>
        </w:rPr>
        <w:t xml:space="preserve">This assessment identified and closed a severe, actively exploitable exposure of personally identifiable information — a completely unauthenticated API sitting directly in front of a database secured only by a guessable, publicly-tracked credential, itself reachable from beyond the machine it ran on. Every finding reported here was proven with a live test, not assumed; every fix was verified the same way. What remains is a short list of deeper, deliberately-scoped architectural improvements, each documented with its own reasoning rather than left as a silent gap. The full evidence trail — every command run, every response captured, every test written — is preserved in the project repository for independent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Page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r>
      <w:rPr>
        <w:rFonts w:ascii="Times New Roman" w:cs="Times New Roman" w:eastAsia="Times New Roman" w:hAnsi="Times New Roman"/>
        <w:color w:val="595959"/>
        <w:sz w:val="20"/>
        <w:szCs w:val="20"/>
      </w:rPr>
      <w:t xml:space="preserve"> of </w:t>
    </w:r>
    <w:r>
      <w:rPr>
        <w:rFonts w:ascii="Times New Roman" w:cs="Times New Roman" w:eastAsia="Times New Roman" w:hAnsi="Times New Roman"/>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20"/>
        <w:szCs w:val="20"/>
      </w:rPr>
      <w:t xml:space="preserve">Operation Candlelight — Board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2026-09-22T20:59:12.124Z</dcterms:created>
  <dcterms:modified xsi:type="dcterms:W3CDTF">2026-09-22T20:59:12.124Z</dcterms:modified>
</cp:coreProperties>
</file>

<file path=docProps/custom.xml><?xml version="1.0" encoding="utf-8"?>
<Properties xmlns="http://schemas.openxmlformats.org/officeDocument/2006/custom-properties" xmlns:vt="http://schemas.openxmlformats.org/officeDocument/2006/docPropsVTypes"/>
</file>