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8"/>
        </w:rPr>
        <w:t>Kappa Foundation — Initial Decision Record</w:t>
      </w:r>
    </w:p>
    <w:p>
      <w:pPr>
        <w:spacing w:after="0"/>
        <w:jc w:val="center"/>
      </w:pPr>
      <w:r>
        <w:rPr>
          <w:b w:val="0"/>
          <w:i w:val="0"/>
          <w:sz w:val="17"/>
        </w:rPr>
        <w:t>BFIN WS2026 Investments · Group Assignment · Decision date 31 Dec 2022 · Submitted 22 Oct 2026</w:t>
      </w:r>
    </w:p>
    <w:p>
      <w:pPr>
        <w:spacing w:after="60"/>
        <w:jc w:val="center"/>
      </w:pPr>
      <w:r>
        <w:rPr>
          <w:b w:val="0"/>
          <w:i w:val="0"/>
          <w:sz w:val="17"/>
        </w:rPr>
        <w:t>Võ Hoàng Ngọc Phú (106240420) · Trần Bình Minh (106240415) · Hoàng Trọng Đăng (103240490)</w:t>
      </w:r>
    </w:p>
    <w:p>
      <w:pPr>
        <w:spacing w:after="20" w:before="80"/>
      </w:pPr>
      <w:r>
        <w:rPr>
          <w:b/>
          <w:i w:val="0"/>
          <w:color w:val="1F3A68"/>
          <w:sz w:val="21"/>
        </w:rPr>
        <w:t>1. Decision</w:t>
      </w:r>
    </w:p>
    <w:p>
      <w:pPr>
        <w:spacing w:after="0"/>
        <w:ind w:left="198" w:hanging="170"/>
      </w:pPr>
      <w:r>
        <w:rPr>
          <w:b w:val="0"/>
          <w:i w:val="0"/>
        </w:rPr>
        <w:t xml:space="preserve">• </w:t>
      </w:r>
      <w:r>
        <w:rPr>
          <w:b/>
          <w:i w:val="0"/>
        </w:rPr>
        <w:t>Fixed payments</w:t>
      </w:r>
      <w:r>
        <w:rPr>
          <w:b w:val="0"/>
          <w:i w:val="0"/>
        </w:rPr>
        <w:t xml:space="preserve"> (USD 2.4M on 31 Dec 2024, USD 3.6M on 31 Dec 2027) funded by exact cash-flow matching: </w:t>
      </w:r>
      <w:r>
        <w:rPr>
          <w:b/>
          <w:i w:val="0"/>
        </w:rPr>
        <w:t>2,157 Beta + 3,479 Delta</w:t>
      </w:r>
      <w:r>
        <w:rPr>
          <w:b w:val="0"/>
          <w:i w:val="0"/>
        </w:rPr>
        <w:t xml:space="preserve"> bonds, cost USD 5,420,974 (PV of payments USD 5,202,169). Delta coupons of 2023–24 complete the 2024 payment; 2025–26 coupons go to the growth part.</w:t>
      </w:r>
    </w:p>
    <w:p>
      <w:pPr>
        <w:spacing w:after="0"/>
        <w:ind w:left="198" w:hanging="170"/>
      </w:pPr>
      <w:r>
        <w:rPr>
          <w:b w:val="0"/>
          <w:i w:val="0"/>
        </w:rPr>
        <w:t xml:space="preserve">• </w:t>
      </w:r>
      <w:r>
        <w:rPr>
          <w:b/>
          <w:i w:val="0"/>
        </w:rPr>
        <w:t>Remainder</w:t>
      </w:r>
      <w:r>
        <w:rPr>
          <w:b w:val="0"/>
          <w:i w:val="0"/>
        </w:rPr>
        <w:t xml:space="preserve"> USD 6,479,026 (after USD 100k cash reserve): </w:t>
      </w:r>
      <w:r>
        <w:rPr>
          <w:b/>
          <w:i w:val="0"/>
        </w:rPr>
        <w:t>49% in a growth portfolio</w:t>
      </w:r>
      <w:r>
        <w:rPr>
          <w:b w:val="0"/>
          <w:i w:val="0"/>
        </w:rPr>
        <w:t xml:space="preserve"> of 10 US stocks + 2 US equity ETFs, the rest in </w:t>
      </w:r>
      <w:r>
        <w:rPr>
          <w:b/>
          <w:i w:val="0"/>
        </w:rPr>
        <w:t>3,175 Epsilon</w:t>
      </w:r>
      <w:r>
        <w:rPr>
          <w:b w:val="0"/>
          <w:i w:val="0"/>
        </w:rPr>
        <w:t xml:space="preserve"> bonds (mature 31 Dec 2030, the goal date). Holding only safe bonds would leave about USD 7.66M in Dec-2022 dollars — short of the USD 8M goal.</w:t>
      </w:r>
    </w:p>
    <w:p>
      <w:pPr>
        <w:spacing w:after="0"/>
        <w:ind w:left="198" w:hanging="170"/>
      </w:pPr>
      <w:r>
        <w:rPr>
          <w:b w:val="0"/>
          <w:i w:val="0"/>
        </w:rPr>
        <w:t xml:space="preserve">• </w:t>
      </w:r>
      <w:r>
        <w:rPr>
          <w:b/>
          <w:i w:val="0"/>
        </w:rPr>
        <w:t>Growth portfolio:</w:t>
      </w:r>
      <w:r>
        <w:rPr>
          <w:b w:val="0"/>
          <w:i w:val="0"/>
        </w:rPr>
        <w:t xml:space="preserve"> long-only max-Sharpe with CAPM expected returns (β × ERP) and the single-index covariance, with weight limits. Expected return 8.83%, volatility 15.16%, beta 0.91. Probability of reaching USD 8M real by 2030 ≈ </w:t>
      </w:r>
      <w:r>
        <w:rPr>
          <w:b/>
          <w:i w:val="0"/>
        </w:rPr>
        <w:t>67%</w:t>
      </w:r>
      <w:r>
        <w:rPr>
          <w:b w:val="0"/>
          <w:i w:val="0"/>
        </w:rPr>
        <w:t>; stress loss 14.8%, 1-year 95% VaR 3.9% (net of payments).</w:t>
      </w:r>
    </w:p>
    <w:p>
      <w:pPr>
        <w:spacing w:after="20" w:before="80"/>
      </w:pPr>
      <w:r>
        <w:rPr>
          <w:b/>
          <w:i w:val="0"/>
          <w:color w:val="1F3A68"/>
          <w:sz w:val="21"/>
        </w:rPr>
        <w:t>2. Candidate universe and eligibility (evidence: Yahoo trade on 30 Dec 2022 with volume &gt; 0; latest SEC filing ≤ 31 Dec 2022)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c>
          <w:tcPr>
            <w:tcW w:type="dxa" w:w="56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Ticker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Name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Sector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Close 30 Dec 22</w:t>
            </w:r>
          </w:p>
        </w:tc>
        <w:tc>
          <w:tcPr>
            <w:tcW w:type="dxa" w:w="119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SEC filing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Ticker</w:t>
            </w:r>
          </w:p>
        </w:tc>
        <w:tc>
          <w:tcPr>
            <w:tcW w:type="dxa" w:w="164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Name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Sector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Close 30 Dec 22</w:t>
            </w:r>
          </w:p>
        </w:tc>
        <w:tc>
          <w:tcPr>
            <w:tcW w:type="dxa" w:w="119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SEC filing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MSA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MSA Safety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Industrials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144.19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10-Q 2022-10-27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NWN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Northwest Natural Hldg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Utilities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47.59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10-Q 2022-11-08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KAI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Kadant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Industrials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177.63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10-Q 2022-11-09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Chemed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Health Care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510.43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10-Q 2022-11-02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GEF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Greif (Cl. A)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Materials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67.06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10-K 2022-12-16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NSIT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Insight Enterprises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Info. Tech.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100.27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10-Q 2022-11-03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IOSP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Innospec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Materials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102.86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10-Q 2022-11-09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XMLV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Invesco S&amp;P MidCap Low Vol ETF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diversified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53.49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NPORT-P 2022-12-30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Flowers Foods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Cons. Staples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28.74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10-Q 2022-11-10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RWL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Invesco S&amp;P 500 Revenue ETF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diversified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73.94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NPORT-P 2022-12-30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CALM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Cal-Maine Foods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Cons. Staples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54.45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10-Q 2022-12-28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SPY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SPDR S&amp;P 500 ETF (benchmark)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diversified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382.43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NPORT-P 2022-11-28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IDACORP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Utilities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  <w:t>107.85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10-Q 2022-11-03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</w:tr>
    </w:tbl>
    <w:p>
      <w:pPr>
        <w:spacing w:after="20"/>
      </w:pPr>
      <w:r>
        <w:rPr>
          <w:b w:val="0"/>
          <w:i w:val="0"/>
          <w:sz w:val="16"/>
        </w:rPr>
        <w:t xml:space="preserve">Selection rule: US-listed, traded through 2015–2022, mostly mid-cap dividend payers, two names per sector where possible (6 sectors). CSG Systems (CSGS) was screened first but Yahoo has no data (delisted) → replaced by NSIT; this survivorship bias, and the fact that we picked names we know, is why we do </w:t>
      </w:r>
      <w:r>
        <w:rPr>
          <w:b/>
          <w:i w:val="0"/>
          <w:sz w:val="16"/>
        </w:rPr>
        <w:t>not</w:t>
      </w:r>
      <w:r>
        <w:rPr>
          <w:b w:val="0"/>
          <w:i w:val="0"/>
          <w:sz w:val="16"/>
        </w:rPr>
        <w:t xml:space="preserve"> use historical mean returns. Benchmark: </w:t>
      </w:r>
      <w:r>
        <w:rPr>
          <w:b/>
          <w:i w:val="0"/>
          <w:sz w:val="16"/>
        </w:rPr>
        <w:t>SPY</w:t>
      </w:r>
      <w:r>
        <w:rPr>
          <w:b w:val="0"/>
          <w:i w:val="0"/>
          <w:sz w:val="16"/>
        </w:rPr>
        <w:t>, buy-and-hold total return (simple, investable, low cost).</w:t>
      </w:r>
    </w:p>
    <w:p>
      <w:pPr>
        <w:spacing w:after="20" w:before="80"/>
      </w:pPr>
      <w:r>
        <w:rPr>
          <w:b/>
          <w:i w:val="0"/>
          <w:color w:val="1F3A68"/>
          <w:sz w:val="21"/>
        </w:rPr>
        <w:t>3. Estimation window and method</w:t>
      </w:r>
    </w:p>
    <w:p>
      <w:pPr>
        <w:spacing w:after="20"/>
      </w:pPr>
      <w:r>
        <w:rPr>
          <w:b w:val="0"/>
          <w:i w:val="0"/>
          <w:sz w:val="16"/>
        </w:rPr>
        <w:t xml:space="preserve">Monthly total returns (Adj Close) </w:t>
      </w:r>
      <w:r>
        <w:rPr>
          <w:b/>
          <w:i w:val="0"/>
          <w:sz w:val="16"/>
        </w:rPr>
        <w:t>Jan 2016 – Dec 2022 (84 months)</w:t>
      </w:r>
      <w:r>
        <w:rPr>
          <w:b w:val="0"/>
          <w:i w:val="0"/>
          <w:sz w:val="16"/>
        </w:rPr>
        <w:t xml:space="preserve">, excess over French RF. Whole calendar years, includes the 2020 crash and the 2022 rate shock; sub-windows 2016–19 / 2020–22 change weights by ≤ 5 pp (turnover 5–7%). Bonds: YTM, bootstrapped curve (flat forwards; linear spot as check), duration/convexity, Treasury-sized rate scenarios; dedication beats Gamma+Epsilon immunization under curve twists. Rejected: </w:t>
      </w:r>
      <w:r>
        <w:rPr>
          <w:b/>
          <w:i w:val="0"/>
          <w:sz w:val="16"/>
        </w:rPr>
        <w:t>Eta</w:t>
      </w:r>
      <w:r>
        <w:rPr>
          <w:b w:val="0"/>
          <w:i w:val="0"/>
          <w:sz w:val="16"/>
        </w:rPr>
        <w:t xml:space="preserve"> (historical-mean max-Sharpe, no limits: 6 names, 85% in CHE/MSA/KAI) and the sample-covariance version (more weights at the bounds, no better out of sample).</w:t>
      </w:r>
    </w:p>
    <w:p>
      <w:pPr>
        <w:spacing w:after="20" w:before="80"/>
      </w:pPr>
      <w:r>
        <w:rPr>
          <w:b/>
          <w:i w:val="0"/>
          <w:color w:val="1F3A68"/>
          <w:sz w:val="21"/>
        </w:rPr>
        <w:t>4. Initial dollar allocation, 31 Dec 2022 (whole bonds/shares at quoted / closing prices, incl. trading costs)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Holding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Units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USD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% fund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Holding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Units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USD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% fund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Beta (bond)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2,157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1,990,436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16.59%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CALM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582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31,722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0.26%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Delta (bond)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3,479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3,430,538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28.59%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IDA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1,285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138,726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1.16%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Epsilon (bond)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3,175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3,304,254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27.54%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NWN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1,928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91,845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0.77%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MSA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1,359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196,150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1.63%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CHE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199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101,677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0.85%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KAI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767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136,378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1.14%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NSIT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1,029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103,281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0.86%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GEF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1,574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105,658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0.88%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XMLV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18,287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978,465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8.15%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IOSP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1,042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107,287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0.89%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RWL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15,023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1,111,134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9.26%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FLO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2,487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71,548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0.60%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Cash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100,900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0.84%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Total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12,000,000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100.00%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of which growth portfolio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3,173,872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b w:val="0"/>
                <w:sz w:val="15"/>
              </w:rPr>
              <w:t>26.45%</w:t>
            </w:r>
          </w:p>
        </w:tc>
      </w:tr>
    </w:tbl>
    <w:p>
      <w:pPr>
        <w:spacing w:after="20" w:before="80"/>
      </w:pPr>
      <w:r>
        <w:rPr>
          <w:b/>
          <w:i w:val="0"/>
          <w:color w:val="1F3A68"/>
          <w:sz w:val="21"/>
        </w:rPr>
        <w:t>5. Material assumptions (sources and reasoning: theory_and_sources/B)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Assumption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Value</w:t>
            </w:r>
          </w:p>
        </w:tc>
        <w:tc>
          <w:tcPr>
            <w:tcW w:type="dxa" w:w="555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Basis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Inflation 2023–2030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2.3% (stress 3.5%)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Treasury breakeven 30 Dec 2022: 5y 2.33%, 10y 2.30%; Fed goal 2%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Equity risk premium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5.0%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Damodaran: historical 1928–2022 5.1% (geom.), implied Jan 2023 5.94% (cross-check)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Risk-free rate (1-year CAL)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4.30%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YTM of Alpha (case); 8-year spot 3.90% used for the 2030 projection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Risk aversion A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 (tested 2–8)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Team choice; at A = 4 the utility optimum is just inside the stress limit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Trustees’ “~15% loss”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stress ≤ 15%, VaR ≤ 10%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Net of payments; stress = equity −40% (≈ 2008) + 5y yield +247 bp (95th pct, 2015–22)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Weight limits (growth)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stock 1–8%, ETF ≤ 35%, sector ≤ 15%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Diversification, every candidate held, liquidity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Costs / cash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10 bp stocks, 3 bp ETFs, bonds at quotes; USD 100k cash at 0%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Team estimate; conservative cash carry</w:t>
            </w:r>
          </w:p>
        </w:tc>
      </w:tr>
    </w:tbl>
    <w:p>
      <w:pPr>
        <w:spacing w:after="20" w:before="80"/>
      </w:pPr>
      <w:r>
        <w:rPr>
          <w:b/>
          <w:i w:val="0"/>
          <w:color w:val="1F3A68"/>
          <w:sz w:val="21"/>
        </w:rPr>
        <w:t>6. Evaluation and rebalancing rule (frozen; run only in the final submission)</w:t>
      </w:r>
    </w:p>
    <w:p>
      <w:pPr>
        <w:spacing w:after="0"/>
        <w:ind w:left="198" w:hanging="170"/>
      </w:pPr>
      <w:r>
        <w:rPr>
          <w:b w:val="0"/>
          <w:i w:val="0"/>
        </w:rPr>
        <w:t>• Bonds held to maturity; released Delta coupons (Dec 2025, Dec 2026) added to the growth portfolio at frozen weights. No change of securities.</w:t>
      </w:r>
    </w:p>
    <w:p>
      <w:pPr>
        <w:spacing w:after="0"/>
        <w:ind w:left="198" w:hanging="170"/>
      </w:pPr>
      <w:r>
        <w:rPr>
          <w:b w:val="0"/>
          <w:i w:val="0"/>
        </w:rPr>
        <w:t xml:space="preserve">• Growth portfolio rebalanced to the frozen weights on the last trading day of </w:t>
      </w:r>
      <w:r>
        <w:rPr>
          <w:b/>
          <w:i w:val="0"/>
        </w:rPr>
        <w:t>Dec 2023 and Dec 2024</w:t>
      </w:r>
      <w:r>
        <w:rPr>
          <w:b w:val="0"/>
          <w:i w:val="0"/>
        </w:rPr>
        <w:t xml:space="preserve"> only if any weight drifts by more than </w:t>
      </w:r>
      <w:r>
        <w:rPr>
          <w:b/>
          <w:i w:val="0"/>
        </w:rPr>
        <w:t>3% points</w:t>
      </w:r>
      <w:r>
        <w:rPr>
          <w:b w:val="0"/>
          <w:i w:val="0"/>
        </w:rPr>
        <w:t>; costs charged on turnover.</w:t>
      </w:r>
    </w:p>
    <w:p>
      <w:pPr>
        <w:spacing w:after="0"/>
        <w:ind w:left="198" w:hanging="170"/>
      </w:pPr>
      <w:r>
        <w:rPr>
          <w:b w:val="0"/>
          <w:i w:val="0"/>
        </w:rPr>
        <w:t>• Comparator SPY (buy-and-hold, total return) from the same start value. Metrics 2023–2025: cumulative/annualised return, volatility, Sharpe, max drawdown, tracking error, information ratio, CAPM α/β vs SPY, FF3 and Carhart α; real fund value vs the USD 8M path.</w:t>
      </w:r>
    </w:p>
    <w:p>
      <w:pPr>
        <w:spacing w:after="0"/>
        <w:ind w:left="198" w:hanging="170"/>
      </w:pPr>
      <w:r>
        <w:rPr>
          <w:b w:val="0"/>
          <w:i w:val="0"/>
        </w:rPr>
        <w:t>• Review triggers: inflation outlook above 3.4% or ERP view below 2.5% (goal probability &lt; 50%), or a stress loss above 15%.</w:t>
      </w:r>
    </w:p>
    <w:p>
      <w:pPr>
        <w:spacing w:after="20" w:before="80"/>
      </w:pPr>
      <w:r>
        <w:rPr>
          <w:b/>
          <w:i w:val="0"/>
          <w:color w:val="1F3A68"/>
          <w:sz w:val="21"/>
        </w:rPr>
        <w:t>7. Files and reproducibility</w:t>
      </w:r>
    </w:p>
    <w:p>
      <w:pPr>
        <w:spacing w:after="20"/>
      </w:pPr>
      <w:r>
        <w:rPr>
          <w:b w:val="0"/>
          <w:i w:val="0"/>
          <w:sz w:val="16"/>
        </w:rPr>
        <w:t>notebooks/01_data_retrieval.ipynb (download, dated source record + hashes) · notebooks/02_kappa_analysis.ipynb (Run All, offline, from data/raw) · outputs/original_22Oct (tables T01–T15, figures, frozen_policy.json) · docs/Decision_Log.md · data retrieved 22 Oct 2026 (UTC times in data/raw/source_record.csv). AI use: an AI assistant helped with writing and debugging code; decisions and interpretation are the group’s (docs/AI_Use_Disclosure.md).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