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4F1056"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bookmarkStart w:id="0" w:name="_GoBack"/>
      <w:bookmarkEnd w:id="0"/>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r w:rsidR="006F5374" w:rsidRPr="004B2A65">
        <w:rPr>
          <w:rFonts w:ascii="Consolas" w:eastAsia="宋体" w:hAnsi="Consolas" w:cs="宋体" w:hint="eastAsia"/>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minInvest)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amount =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Pr>
          <w:rFonts w:ascii="Consolas" w:eastAsia="宋体" w:hAnsi="Consolas" w:cs="宋体" w:hint="eastAsia"/>
          <w:b/>
          <w:color w:val="24292E"/>
          <w:kern w:val="0"/>
          <w:sz w:val="20"/>
          <w:szCs w:val="20"/>
        </w:rPr>
        <w:t xml:space="preserve">amount &lt; </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 xml:space="preserve">amount &gt; </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C73" w:rsidRDefault="003E1C73" w:rsidP="00827C19">
      <w:r>
        <w:separator/>
      </w:r>
    </w:p>
  </w:endnote>
  <w:endnote w:type="continuationSeparator" w:id="0">
    <w:p w:rsidR="003E1C73" w:rsidRDefault="003E1C73"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C73" w:rsidRDefault="003E1C73" w:rsidP="00827C19">
      <w:r>
        <w:separator/>
      </w:r>
    </w:p>
  </w:footnote>
  <w:footnote w:type="continuationSeparator" w:id="0">
    <w:p w:rsidR="003E1C73" w:rsidRDefault="003E1C73" w:rsidP="00827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2053C"/>
    <w:rsid w:val="00023570"/>
    <w:rsid w:val="00025CF8"/>
    <w:rsid w:val="00037232"/>
    <w:rsid w:val="00051FD8"/>
    <w:rsid w:val="000606FC"/>
    <w:rsid w:val="000773BC"/>
    <w:rsid w:val="00080090"/>
    <w:rsid w:val="000832BA"/>
    <w:rsid w:val="000913A0"/>
    <w:rsid w:val="00092329"/>
    <w:rsid w:val="000934DC"/>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4578D"/>
    <w:rsid w:val="0035407E"/>
    <w:rsid w:val="00367D63"/>
    <w:rsid w:val="00383C52"/>
    <w:rsid w:val="00392511"/>
    <w:rsid w:val="003979FF"/>
    <w:rsid w:val="003A0AEF"/>
    <w:rsid w:val="003A5742"/>
    <w:rsid w:val="003B3B33"/>
    <w:rsid w:val="003B7219"/>
    <w:rsid w:val="003B7CDA"/>
    <w:rsid w:val="003C65FF"/>
    <w:rsid w:val="003D0976"/>
    <w:rsid w:val="003E1C73"/>
    <w:rsid w:val="003E291A"/>
    <w:rsid w:val="003E2FD7"/>
    <w:rsid w:val="004026C2"/>
    <w:rsid w:val="00405F57"/>
    <w:rsid w:val="00411781"/>
    <w:rsid w:val="0041616F"/>
    <w:rsid w:val="004164CA"/>
    <w:rsid w:val="00426DD2"/>
    <w:rsid w:val="0044068F"/>
    <w:rsid w:val="00443C01"/>
    <w:rsid w:val="004455FB"/>
    <w:rsid w:val="004514E6"/>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1056"/>
    <w:rsid w:val="004F3923"/>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32E4"/>
    <w:rsid w:val="006F5374"/>
    <w:rsid w:val="00702F35"/>
    <w:rsid w:val="00704AB9"/>
    <w:rsid w:val="00705768"/>
    <w:rsid w:val="007127D2"/>
    <w:rsid w:val="00714F7E"/>
    <w:rsid w:val="00727E7E"/>
    <w:rsid w:val="007316AE"/>
    <w:rsid w:val="007417C3"/>
    <w:rsid w:val="00771024"/>
    <w:rsid w:val="00785D67"/>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27C19"/>
    <w:rsid w:val="00835A1E"/>
    <w:rsid w:val="008423E3"/>
    <w:rsid w:val="00847A8C"/>
    <w:rsid w:val="00854CD1"/>
    <w:rsid w:val="00854E10"/>
    <w:rsid w:val="00861DE0"/>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41B3"/>
    <w:rsid w:val="009457F2"/>
    <w:rsid w:val="00956038"/>
    <w:rsid w:val="00962619"/>
    <w:rsid w:val="00971801"/>
    <w:rsid w:val="00981A5B"/>
    <w:rsid w:val="00982E24"/>
    <w:rsid w:val="00992557"/>
    <w:rsid w:val="009A60AB"/>
    <w:rsid w:val="009A630C"/>
    <w:rsid w:val="009B6AED"/>
    <w:rsid w:val="009C1C5F"/>
    <w:rsid w:val="00A00783"/>
    <w:rsid w:val="00A160F7"/>
    <w:rsid w:val="00A333A7"/>
    <w:rsid w:val="00A33DEC"/>
    <w:rsid w:val="00A82B14"/>
    <w:rsid w:val="00A931E8"/>
    <w:rsid w:val="00A95D4D"/>
    <w:rsid w:val="00A9709B"/>
    <w:rsid w:val="00AB5E08"/>
    <w:rsid w:val="00AD21C2"/>
    <w:rsid w:val="00AD5392"/>
    <w:rsid w:val="00AF0BCD"/>
    <w:rsid w:val="00AF4254"/>
    <w:rsid w:val="00B167DE"/>
    <w:rsid w:val="00B3741D"/>
    <w:rsid w:val="00B473FE"/>
    <w:rsid w:val="00B52FC2"/>
    <w:rsid w:val="00B53E8A"/>
    <w:rsid w:val="00B70F5C"/>
    <w:rsid w:val="00B713D1"/>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E43AA"/>
    <w:rsid w:val="00CE5A40"/>
    <w:rsid w:val="00CF6EF4"/>
    <w:rsid w:val="00D0003F"/>
    <w:rsid w:val="00D017C2"/>
    <w:rsid w:val="00D1463C"/>
    <w:rsid w:val="00D236E3"/>
    <w:rsid w:val="00D2668D"/>
    <w:rsid w:val="00D30542"/>
    <w:rsid w:val="00D33738"/>
    <w:rsid w:val="00D3524F"/>
    <w:rsid w:val="00D5390D"/>
    <w:rsid w:val="00D55747"/>
    <w:rsid w:val="00D90027"/>
    <w:rsid w:val="00D92485"/>
    <w:rsid w:val="00D930BB"/>
    <w:rsid w:val="00D93742"/>
    <w:rsid w:val="00DA0C37"/>
    <w:rsid w:val="00DA3FE2"/>
    <w:rsid w:val="00DB1595"/>
    <w:rsid w:val="00DD1E6F"/>
    <w:rsid w:val="00DD6C5A"/>
    <w:rsid w:val="00DD71AF"/>
    <w:rsid w:val="00DE010D"/>
    <w:rsid w:val="00DE067E"/>
    <w:rsid w:val="00DE079E"/>
    <w:rsid w:val="00DE62D4"/>
    <w:rsid w:val="00E03A62"/>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5BD7"/>
    <w:rsid w:val="00F70577"/>
    <w:rsid w:val="00F7364E"/>
    <w:rsid w:val="00F8198B"/>
    <w:rsid w:val="00F85E50"/>
    <w:rsid w:val="00FA531F"/>
    <w:rsid w:val="00FC1694"/>
    <w:rsid w:val="00FD67D0"/>
    <w:rsid w:val="00FE4616"/>
    <w:rsid w:val="00FF197B"/>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6481</TotalTime>
  <Pages>77</Pages>
  <Words>9681</Words>
  <Characters>55185</Characters>
  <Application>Microsoft Office Word</Application>
  <DocSecurity>0</DocSecurity>
  <Lines>459</Lines>
  <Paragraphs>129</Paragraphs>
  <ScaleCrop>false</ScaleCrop>
  <Company/>
  <LinksUpToDate>false</LinksUpToDate>
  <CharactersWithSpaces>64737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294</cp:revision>
  <dcterms:created xsi:type="dcterms:W3CDTF">2018-11-13T16:20:00Z</dcterms:created>
  <dcterms:modified xsi:type="dcterms:W3CDTF">2018-11-22T15:50:00Z</dcterms:modified>
</cp:coreProperties>
</file>