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D5" w:rsidRDefault="002229D5" w:rsidP="0070159A">
      <w:pPr>
        <w:rPr>
          <w:rFonts w:ascii="微軟正黑體" w:eastAsia="微軟正黑體" w:hAnsi="微軟正黑體" w:hint="eastAsia"/>
          <w:color w:val="333333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333333"/>
          <w:sz w:val="21"/>
          <w:szCs w:val="21"/>
          <w:shd w:val="clear" w:color="auto" w:fill="FFFFFF"/>
        </w:rPr>
        <w:t>什麼是ETF?</w:t>
      </w:r>
    </w:p>
    <w:p w:rsidR="0070159A" w:rsidRDefault="0070159A" w:rsidP="0070159A">
      <w:pPr>
        <w:pStyle w:val="Web"/>
        <w:shd w:val="clear" w:color="auto" w:fill="FFFFFF"/>
        <w:spacing w:before="0" w:beforeAutospacing="0" w:after="0" w:afterAutospacing="0"/>
        <w:ind w:firstLineChars="200" w:firstLine="420"/>
        <w:jc w:val="both"/>
        <w:textAlignment w:val="baseline"/>
        <w:rPr>
          <w:rFonts w:ascii="微軟正黑體" w:eastAsia="微軟正黑體" w:hAnsi="微軟正黑體"/>
          <w:color w:val="333333"/>
          <w:sz w:val="21"/>
          <w:szCs w:val="21"/>
          <w:shd w:val="clear" w:color="auto" w:fill="FFFFFF"/>
        </w:rPr>
      </w:pPr>
      <w:r w:rsidRPr="0070159A">
        <w:rPr>
          <w:rFonts w:ascii="微軟正黑體" w:eastAsia="微軟正黑體" w:hAnsi="微軟正黑體"/>
          <w:color w:val="333333"/>
          <w:sz w:val="21"/>
          <w:szCs w:val="21"/>
          <w:shd w:val="clear" w:color="auto" w:fill="FFFFFF"/>
        </w:rPr>
        <w:t>ETF英文原文為Exchange Traded Fund，中文稱為「指數股票型基金」，是一種由投信公司發行，追蹤、模擬或複製標的指數之績效表現，在證券交易所上市交易的開放式基金。 ETF兼具開放式基金及股票之特色，上市後可於初級市場進行申購或買回，亦可於次級市場盤中交易時間隨時向證券商下單買賣。</w:t>
      </w:r>
    </w:p>
    <w:p w:rsidR="0070159A" w:rsidRDefault="0070159A" w:rsidP="0070159A">
      <w:pPr>
        <w:pStyle w:val="Web"/>
        <w:shd w:val="clear" w:color="auto" w:fill="FFFFFF"/>
        <w:spacing w:before="0" w:beforeAutospacing="0" w:after="0" w:afterAutospacing="0"/>
        <w:ind w:firstLineChars="200" w:firstLine="420"/>
        <w:jc w:val="both"/>
        <w:textAlignment w:val="baseline"/>
        <w:rPr>
          <w:rFonts w:ascii="微軟正黑體" w:eastAsia="微軟正黑體" w:hAnsi="微軟正黑體" w:hint="eastAsia"/>
          <w:color w:val="333333"/>
          <w:sz w:val="21"/>
          <w:szCs w:val="21"/>
          <w:shd w:val="clear" w:color="auto" w:fill="FFFFFF"/>
        </w:rPr>
      </w:pPr>
      <w:r w:rsidRPr="0070159A">
        <w:rPr>
          <w:rFonts w:ascii="微軟正黑體" w:eastAsia="微軟正黑體" w:hAnsi="微軟正黑體"/>
          <w:color w:val="333333"/>
          <w:sz w:val="21"/>
          <w:szCs w:val="21"/>
          <w:shd w:val="clear" w:color="auto" w:fill="FFFFFF"/>
        </w:rPr>
        <w:t>現行上市ETF依法規架構分類，可分為三大類型，包括證券投資信託ETF（證信託ETF），期貨信託ETF（期貨ETF）及跨境上市ETF（境外ETF）。</w:t>
      </w:r>
    </w:p>
    <w:p w:rsidR="002229D5" w:rsidRPr="002229D5" w:rsidRDefault="002229D5" w:rsidP="0070159A">
      <w:pPr>
        <w:pStyle w:val="Web"/>
        <w:shd w:val="clear" w:color="auto" w:fill="FFFFFF"/>
        <w:spacing w:before="0" w:beforeAutospacing="0" w:after="0" w:afterAutospacing="0"/>
        <w:ind w:firstLineChars="200" w:firstLine="420"/>
        <w:jc w:val="center"/>
        <w:textAlignment w:val="baseline"/>
        <w:rPr>
          <w:rFonts w:ascii="微軟正黑體" w:eastAsia="微軟正黑體" w:hAnsi="微軟正黑體" w:hint="eastAsia"/>
          <w:color w:val="333333"/>
          <w:sz w:val="21"/>
          <w:szCs w:val="21"/>
          <w:shd w:val="clear" w:color="auto" w:fill="FFFFFF"/>
        </w:rPr>
      </w:pPr>
      <w:r w:rsidRPr="002229D5">
        <w:rPr>
          <w:rFonts w:ascii="微軟正黑體" w:eastAsia="微軟正黑體" w:hAnsi="微軟正黑體" w:hint="eastAsia"/>
          <w:color w:val="333333"/>
          <w:sz w:val="21"/>
          <w:szCs w:val="21"/>
          <w:shd w:val="clear" w:color="auto" w:fill="FFFFFF"/>
        </w:rPr>
        <w:t>投資ETF 的優點與特性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29D5" w:rsidTr="002229D5">
        <w:tc>
          <w:tcPr>
            <w:tcW w:w="1271" w:type="dxa"/>
          </w:tcPr>
          <w:p w:rsidR="002229D5" w:rsidRDefault="002229D5" w:rsidP="0070159A">
            <w:pPr>
              <w:pStyle w:val="Web"/>
              <w:spacing w:before="0" w:beforeAutospacing="0" w:after="0" w:afterAutospacing="0"/>
              <w:jc w:val="both"/>
              <w:textAlignment w:val="baseline"/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成</w:t>
            </w:r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本低廉</w:t>
            </w:r>
          </w:p>
        </w:tc>
        <w:tc>
          <w:tcPr>
            <w:tcW w:w="7025" w:type="dxa"/>
          </w:tcPr>
          <w:p w:rsidR="002229D5" w:rsidRDefault="002229D5" w:rsidP="0070159A">
            <w:pPr>
              <w:pStyle w:val="Web"/>
              <w:spacing w:before="0" w:beforeAutospacing="0" w:after="0" w:afterAutospacing="0"/>
              <w:textAlignment w:val="baseline"/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</w:pPr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由於探取被動式管理，經理費一般較主動式管理基金</w:t>
            </w:r>
            <w:proofErr w:type="gramStart"/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鵀</w:t>
            </w:r>
            <w:proofErr w:type="gramEnd"/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低，週轉率低所以可同時降低交易及營運成本。</w:t>
            </w:r>
          </w:p>
        </w:tc>
      </w:tr>
      <w:tr w:rsidR="002229D5" w:rsidTr="002229D5">
        <w:tc>
          <w:tcPr>
            <w:tcW w:w="1271" w:type="dxa"/>
          </w:tcPr>
          <w:p w:rsidR="002229D5" w:rsidRDefault="002229D5" w:rsidP="0070159A">
            <w:pPr>
              <w:pStyle w:val="Web"/>
              <w:spacing w:before="0" w:beforeAutospacing="0" w:after="0" w:afterAutospacing="0"/>
              <w:jc w:val="both"/>
              <w:textAlignment w:val="baseline"/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</w:pPr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交易方便</w:t>
            </w:r>
            <w:r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、</w:t>
            </w:r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流通性高</w:t>
            </w:r>
          </w:p>
        </w:tc>
        <w:tc>
          <w:tcPr>
            <w:tcW w:w="7025" w:type="dxa"/>
          </w:tcPr>
          <w:p w:rsidR="002229D5" w:rsidRDefault="002229D5" w:rsidP="0070159A">
            <w:pPr>
              <w:pStyle w:val="Web"/>
              <w:jc w:val="both"/>
              <w:textAlignment w:val="baseline"/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</w:pPr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買賣 ETF 與買賣股票一樣，只要在交易時間內，隨時都可以跟證券經紀商下單，不僅買</w:t>
            </w:r>
            <w:proofErr w:type="gramStart"/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賁</w:t>
            </w:r>
            <w:proofErr w:type="gramEnd"/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方便，也具有相當高的流通性。</w:t>
            </w:r>
          </w:p>
        </w:tc>
      </w:tr>
      <w:tr w:rsidR="002229D5" w:rsidTr="002229D5">
        <w:tc>
          <w:tcPr>
            <w:tcW w:w="1271" w:type="dxa"/>
          </w:tcPr>
          <w:p w:rsidR="002229D5" w:rsidRDefault="002229D5" w:rsidP="0070159A">
            <w:pPr>
              <w:pStyle w:val="Web"/>
              <w:spacing w:before="0" w:beforeAutospacing="0" w:after="0" w:afterAutospacing="0"/>
              <w:jc w:val="both"/>
              <w:textAlignment w:val="baseline"/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</w:pPr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分散風險</w:t>
            </w:r>
          </w:p>
        </w:tc>
        <w:tc>
          <w:tcPr>
            <w:tcW w:w="7025" w:type="dxa"/>
          </w:tcPr>
          <w:p w:rsidR="002229D5" w:rsidRDefault="002229D5" w:rsidP="0070159A">
            <w:pPr>
              <w:pStyle w:val="Web"/>
              <w:jc w:val="both"/>
              <w:textAlignment w:val="baseline"/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</w:pPr>
            <w:r w:rsidRPr="002229D5"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  <w:t xml:space="preserve">ETF </w:t>
            </w:r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投资組合與指數極</w:t>
            </w:r>
            <w:r w:rsid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為</w:t>
            </w:r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近似。投資一檔</w:t>
            </w:r>
            <w:r w:rsidRPr="002229D5"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  <w:t xml:space="preserve">ETF </w:t>
            </w:r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取代投資</w:t>
            </w:r>
            <w:proofErr w:type="gramStart"/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一</w:t>
            </w:r>
            <w:proofErr w:type="gramEnd"/>
            <w:r w:rsid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籃</w:t>
            </w:r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子的股票組合，可以免去選股煩</w:t>
            </w:r>
            <w:r w:rsid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惱並</w:t>
            </w:r>
            <w:r w:rsidRPr="002229D5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且達到分散風險的效果</w:t>
            </w:r>
            <w:r w:rsid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2229D5" w:rsidTr="002229D5">
        <w:tc>
          <w:tcPr>
            <w:tcW w:w="1271" w:type="dxa"/>
          </w:tcPr>
          <w:p w:rsidR="002229D5" w:rsidRDefault="0070159A" w:rsidP="0070159A">
            <w:pPr>
              <w:pStyle w:val="Web"/>
              <w:spacing w:before="0" w:beforeAutospacing="0" w:after="0" w:afterAutospacing="0"/>
              <w:jc w:val="both"/>
              <w:textAlignment w:val="baseline"/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</w:pPr>
            <w:r w:rsidRP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投資組合透明</w:t>
            </w:r>
          </w:p>
        </w:tc>
        <w:tc>
          <w:tcPr>
            <w:tcW w:w="7025" w:type="dxa"/>
          </w:tcPr>
          <w:p w:rsidR="002229D5" w:rsidRDefault="0070159A" w:rsidP="0070159A">
            <w:pPr>
              <w:pStyle w:val="Web"/>
              <w:jc w:val="both"/>
              <w:textAlignment w:val="baseline"/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</w:pPr>
            <w:r w:rsidRP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ETF 的投資組合和指數一樣，持股內容十分透明而且不會像一般的共同基金一樣，易受到基金</w:t>
            </w:r>
            <w:r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經</w:t>
            </w:r>
            <w:r w:rsidRP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理人或基金公司政策等人爲因素影</w:t>
            </w:r>
            <w:r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響</w:t>
            </w:r>
            <w:r w:rsidRP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2229D5" w:rsidTr="002229D5">
        <w:tc>
          <w:tcPr>
            <w:tcW w:w="1271" w:type="dxa"/>
          </w:tcPr>
          <w:p w:rsidR="002229D5" w:rsidRDefault="0070159A" w:rsidP="0070159A">
            <w:pPr>
              <w:pStyle w:val="Web"/>
              <w:jc w:val="both"/>
              <w:textAlignment w:val="baseline"/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</w:pPr>
            <w:r w:rsidRP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無法享受</w:t>
            </w:r>
            <w:r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股東</w:t>
            </w:r>
            <w:r w:rsidRP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權利</w:t>
            </w:r>
          </w:p>
        </w:tc>
        <w:tc>
          <w:tcPr>
            <w:tcW w:w="7025" w:type="dxa"/>
          </w:tcPr>
          <w:p w:rsidR="002229D5" w:rsidRDefault="0070159A" w:rsidP="0070159A">
            <w:pPr>
              <w:pStyle w:val="Web"/>
              <w:jc w:val="both"/>
              <w:textAlignment w:val="baseline"/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雖然和股票一樣</w:t>
            </w:r>
            <w:r w:rsidRP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，但是 ETF 仍是其金，而不是股票，所以ETF的受益人無法參與股東會享有股東投票的權利。</w:t>
            </w:r>
          </w:p>
        </w:tc>
      </w:tr>
      <w:tr w:rsidR="002229D5" w:rsidTr="002229D5">
        <w:tc>
          <w:tcPr>
            <w:tcW w:w="1271" w:type="dxa"/>
          </w:tcPr>
          <w:p w:rsidR="002229D5" w:rsidRPr="0070159A" w:rsidRDefault="0070159A" w:rsidP="0070159A">
            <w:pPr>
              <w:pStyle w:val="Web"/>
              <w:spacing w:before="0" w:beforeAutospacing="0" w:after="0" w:afterAutospacing="0"/>
              <w:jc w:val="both"/>
              <w:textAlignment w:val="baseline"/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lastRenderedPageBreak/>
              <w:t>適合投資</w:t>
            </w:r>
            <w:r w:rsidRP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 xml:space="preserve"> ETF</w:t>
            </w:r>
            <w:r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的對象</w:t>
            </w:r>
          </w:p>
        </w:tc>
        <w:tc>
          <w:tcPr>
            <w:tcW w:w="7025" w:type="dxa"/>
          </w:tcPr>
          <w:p w:rsidR="002229D5" w:rsidRDefault="0070159A" w:rsidP="0070159A">
            <w:pPr>
              <w:pStyle w:val="Web"/>
              <w:jc w:val="both"/>
              <w:textAlignment w:val="baseline"/>
              <w:rPr>
                <w:rFonts w:ascii="微軟正黑體" w:eastAsia="微軟正黑體" w:hAnsi="微軟正黑體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沒時間管理，對股票操作不是很熟悉，或是想到投資就很困惑的投資</w:t>
            </w:r>
            <w:r w:rsidRP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 xml:space="preserve">人，可以考慮 ETF </w:t>
            </w:r>
            <w:r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這種投資績效跟著大盤</w:t>
            </w:r>
            <w:r w:rsidRPr="0070159A"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走的投資方式</w:t>
            </w:r>
            <w:r>
              <w:rPr>
                <w:rFonts w:ascii="微軟正黑體" w:eastAsia="微軟正黑體" w:hAnsi="微軟正黑體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</w:tc>
      </w:tr>
    </w:tbl>
    <w:p w:rsidR="0070159A" w:rsidRPr="0070159A" w:rsidRDefault="0070159A" w:rsidP="0070159A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軟正黑體" w:eastAsia="微軟正黑體" w:hAnsi="微軟正黑體"/>
          <w:color w:val="333333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333333"/>
          <w:sz w:val="21"/>
          <w:szCs w:val="21"/>
          <w:shd w:val="clear" w:color="auto" w:fill="FFFFFF"/>
        </w:rPr>
        <w:t>資料來源:</w:t>
      </w:r>
      <w:r w:rsidRPr="0070159A">
        <w:t xml:space="preserve"> </w:t>
      </w:r>
      <w:hyperlink r:id="rId4" w:history="1">
        <w:r w:rsidRPr="003D0A75">
          <w:rPr>
            <w:rStyle w:val="a5"/>
            <w:rFonts w:ascii="微軟正黑體" w:eastAsia="微軟正黑體" w:hAnsi="微軟正黑體"/>
            <w:sz w:val="21"/>
            <w:szCs w:val="21"/>
            <w:shd w:val="clear" w:color="auto" w:fill="FFFFFF"/>
          </w:rPr>
          <w:t>https://reurl.cc/1ZbYOY</w:t>
        </w:r>
      </w:hyperlink>
      <w:r>
        <w:rPr>
          <w:rFonts w:ascii="微軟正黑體" w:eastAsia="微軟正黑體" w:hAnsi="微軟正黑體" w:hint="eastAsia"/>
          <w:color w:val="333333"/>
          <w:sz w:val="21"/>
          <w:szCs w:val="21"/>
          <w:shd w:val="clear" w:color="auto" w:fill="FFFFFF"/>
        </w:rPr>
        <w:t xml:space="preserve"> </w:t>
      </w:r>
      <w:r w:rsidRPr="0070159A">
        <w:rPr>
          <w:rFonts w:ascii="微軟正黑體" w:eastAsia="微軟正黑體" w:hAnsi="微軟正黑體" w:hint="eastAsia"/>
          <w:color w:val="333333"/>
          <w:sz w:val="21"/>
          <w:szCs w:val="21"/>
          <w:shd w:val="clear" w:color="auto" w:fill="FFFFFF"/>
        </w:rPr>
        <w:t>台灣證券交易所</w:t>
      </w:r>
    </w:p>
    <w:p w:rsidR="002229D5" w:rsidRPr="002229D5" w:rsidRDefault="0070159A" w:rsidP="0070159A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軟正黑體" w:eastAsia="微軟正黑體" w:hAnsi="微軟正黑體"/>
          <w:color w:val="333333"/>
          <w:sz w:val="21"/>
          <w:szCs w:val="21"/>
          <w:shd w:val="clear" w:color="auto" w:fill="FFFFFF"/>
        </w:rPr>
      </w:pPr>
      <w:hyperlink r:id="rId5" w:history="1">
        <w:r w:rsidRPr="003D0A75">
          <w:rPr>
            <w:rStyle w:val="a5"/>
            <w:rFonts w:ascii="微軟正黑體" w:eastAsia="微軟正黑體" w:hAnsi="微軟正黑體"/>
            <w:sz w:val="21"/>
            <w:szCs w:val="21"/>
            <w:shd w:val="clear" w:color="auto" w:fill="FFFFFF"/>
          </w:rPr>
          <w:t>https://reurl.cc/o1ygVl</w:t>
        </w:r>
      </w:hyperlink>
      <w:r>
        <w:rPr>
          <w:rFonts w:ascii="微軟正黑體" w:eastAsia="微軟正黑體" w:hAnsi="微軟正黑體" w:hint="eastAsia"/>
          <w:color w:val="333333"/>
          <w:sz w:val="21"/>
          <w:szCs w:val="21"/>
          <w:shd w:val="clear" w:color="auto" w:fill="FFFFFF"/>
        </w:rPr>
        <w:t xml:space="preserve"> 金融監督管理委員會金融智慧網</w:t>
      </w:r>
    </w:p>
    <w:p w:rsidR="002229D5" w:rsidRDefault="002229D5" w:rsidP="0070159A">
      <w:pPr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</w:pPr>
    </w:p>
    <w:p w:rsidR="0070159A" w:rsidRDefault="0070159A" w:rsidP="0070159A">
      <w:pPr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什麼是股票?</w:t>
      </w:r>
    </w:p>
    <w:p w:rsidR="0070159A" w:rsidRPr="00143480" w:rsidRDefault="0070159A" w:rsidP="00143480">
      <w:pPr>
        <w:ind w:firstLineChars="200" w:firstLine="420"/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</w:pPr>
      <w:r w:rsidRPr="00143480"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  <w:t>股票是一種有價證券</w:t>
      </w:r>
      <w:r w:rsidR="00143480"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，</w:t>
      </w:r>
      <w:r w:rsidRPr="00143480"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  <w:t>是股份有限公司為籌集資金發給投資</w:t>
      </w:r>
      <w:r w:rsidR="00143480"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者</w:t>
      </w:r>
      <w:r w:rsidRPr="00143480"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  <w:t>做為公司資本部分所有權的憑證</w:t>
      </w:r>
      <w:r w:rsidR="00143480"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，</w:t>
      </w:r>
      <w:r w:rsidRPr="00143480"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  <w:t>成為股東以此獲得股息</w:t>
      </w:r>
      <w:r w:rsidR="00143480"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，</w:t>
      </w:r>
      <w:r w:rsidRPr="00143480"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  <w:t>並分享公司成長或交易市場波動帶來的利潤</w:t>
      </w:r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；</w:t>
      </w:r>
      <w:r w:rsidRPr="00143480"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  <w:t>但也要共同承擔公司運作錯誤所帶來的風險</w:t>
      </w:r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。</w:t>
      </w:r>
    </w:p>
    <w:p w:rsidR="00143480" w:rsidRDefault="00143480" w:rsidP="00143480">
      <w:pPr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</w:pPr>
    </w:p>
    <w:p w:rsidR="00143480" w:rsidRDefault="00143480" w:rsidP="00143480">
      <w:pPr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警語</w:t>
      </w: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</w:pPr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警語</w:t>
      </w: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</w:pP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</w:pPr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● 基金並非存款，基金投資具有投資風險，客戶投資本商品前應自行了解判斷並自負盈虧。</w:t>
      </w: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</w:pP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</w:pPr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● 投資人因不同時間進場，將有不同之投資績效，過去績效亦不代表未來績效之保證。</w:t>
      </w: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</w:pP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</w:pPr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lastRenderedPageBreak/>
        <w:t>●基金之配息率不等於基金之報酬率，基金交易應考量之風險因素如下：</w:t>
      </w: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</w:pPr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(1)投資標的及投資地區可能產生之風險：市場（政治、經濟、社會變動、匯率、利率、股價、指數或其他標的資產之價格波動）風險、流動性風險、信用風險、產業景氣循環變動、證券相關商品交易、法令、貨幣等風險。</w:t>
      </w: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</w:pPr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(2)因前述風險、受益人大量買回或基金暫停計算買回價格等因素，或有延遲給付買回價金之可能。</w:t>
      </w: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</w:pP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</w:pPr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● 本公司保留隨時變更及停止本服務所提供任何活動或優惠之權利。</w:t>
      </w:r>
    </w:p>
    <w:p w:rsidR="00143480" w:rsidRPr="00143480" w:rsidRDefault="00143480" w:rsidP="00143480">
      <w:pPr>
        <w:ind w:firstLineChars="200" w:firstLine="420"/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</w:pPr>
    </w:p>
    <w:p w:rsidR="00143480" w:rsidRPr="0070159A" w:rsidRDefault="00143480" w:rsidP="00143480">
      <w:pPr>
        <w:ind w:firstLineChars="200" w:firstLine="420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</w:pPr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以上資料只提供參考用途，本網站對資料的完整性、正確性等等，</w:t>
      </w:r>
      <w:proofErr w:type="gramStart"/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均不負責</w:t>
      </w:r>
      <w:proofErr w:type="gramEnd"/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。若有錯誤本網站或關係企業與受</w:t>
      </w:r>
      <w:proofErr w:type="gramStart"/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僱</w:t>
      </w:r>
      <w:proofErr w:type="gramEnd"/>
      <w:r w:rsidRPr="00143480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  <w:shd w:val="clear" w:color="auto" w:fill="FFFFFF"/>
        </w:rPr>
        <w:t>人等並不負任何法律責任，客戶需自行判斷資訊之正確性。</w:t>
      </w:r>
      <w:bookmarkStart w:id="0" w:name="_GoBack"/>
      <w:bookmarkEnd w:id="0"/>
    </w:p>
    <w:sectPr w:rsidR="00143480" w:rsidRPr="00701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D5"/>
    <w:rsid w:val="00143480"/>
    <w:rsid w:val="002229D5"/>
    <w:rsid w:val="0054240B"/>
    <w:rsid w:val="0070159A"/>
    <w:rsid w:val="00D3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DE4A"/>
  <w15:chartTrackingRefBased/>
  <w15:docId w15:val="{A7693DB1-60AA-476A-AB99-2FB2E605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229D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229D5"/>
    <w:rPr>
      <w:b/>
      <w:bCs/>
    </w:rPr>
  </w:style>
  <w:style w:type="table" w:styleId="a4">
    <w:name w:val="Table Grid"/>
    <w:basedOn w:val="a1"/>
    <w:uiPriority w:val="39"/>
    <w:rsid w:val="00222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01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url.cc/o1ygVl" TargetMode="External"/><Relationship Id="rId4" Type="http://schemas.openxmlformats.org/officeDocument/2006/relationships/hyperlink" Target="https://reurl.cc/1ZbYO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Chan</dc:creator>
  <cp:keywords/>
  <dc:description/>
  <cp:lastModifiedBy>Sivan Chan</cp:lastModifiedBy>
  <cp:revision>1</cp:revision>
  <dcterms:created xsi:type="dcterms:W3CDTF">2022-05-21T10:12:00Z</dcterms:created>
  <dcterms:modified xsi:type="dcterms:W3CDTF">2022-05-21T10:37:00Z</dcterms:modified>
</cp:coreProperties>
</file>