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9E418">
      <w:pPr>
        <w:pStyle w:val="2"/>
      </w:pPr>
      <w:bookmarkStart w:id="0" w:name="header"/>
      <w:bookmarkEnd w:id="0"/>
      <w:bookmarkStart w:id="1" w:name="执行摘要"/>
      <w:bookmarkStart w:id="2" w:name="content"/>
      <w:r>
        <w:rPr>
          <w:rFonts w:hint="eastAsia"/>
        </w:rPr>
        <w:t>执行摘要</w:t>
      </w:r>
    </w:p>
    <w:p w14:paraId="3DDB8FA5">
      <w:pPr>
        <w:pStyle w:val="23"/>
      </w:pPr>
      <w:r>
        <w:t xml:space="preserve">A </w:t>
      </w:r>
      <w:r>
        <w:rPr>
          <w:rFonts w:hint="eastAsia"/>
        </w:rPr>
        <w:t>股市场特点导致散户往往情绪化交易、频繁加杠杆，本方案的核心思路是：</w:t>
      </w:r>
      <w:r>
        <w:rPr>
          <w:rFonts w:hint="eastAsia"/>
          <w:b/>
          <w:bCs/>
        </w:rPr>
        <w:t>彻底避免重蹈亏损98%的覆辙</w:t>
      </w:r>
      <w:r>
        <w:rPr>
          <w:rFonts w:hint="eastAsia"/>
        </w:rPr>
        <w:t>，从“严格风险管理</w:t>
      </w:r>
      <w:r>
        <w:t xml:space="preserve"> + </w:t>
      </w:r>
      <w:r>
        <w:rPr>
          <w:rFonts w:hint="eastAsia"/>
        </w:rPr>
        <w:t>小仓位可复制策略”出发，逐步恢复资金。简言之，就是“小仓位分批、右侧交易+止损、控制回撤”。具体而言：初期目标是</w:t>
      </w:r>
      <w:r>
        <w:rPr>
          <w:rFonts w:hint="eastAsia"/>
          <w:b/>
          <w:bCs/>
        </w:rPr>
        <w:t>保命止血</w:t>
      </w:r>
      <w:r>
        <w:rPr>
          <w:rFonts w:hint="eastAsia"/>
        </w:rPr>
        <w:t>，快速形成不违规交易的惯性；中期目标是</w:t>
      </w:r>
      <w:r>
        <w:rPr>
          <w:rFonts w:hint="eastAsia"/>
          <w:b/>
          <w:bCs/>
        </w:rPr>
        <w:t>建立稳定的小规模获利体系</w:t>
      </w:r>
      <w:r>
        <w:rPr>
          <w:rFonts w:hint="eastAsia"/>
        </w:rPr>
        <w:t>；长期目标才是</w:t>
      </w:r>
      <w:r>
        <w:rPr>
          <w:rFonts w:hint="eastAsia"/>
          <w:b/>
          <w:bCs/>
        </w:rPr>
        <w:t>稳健复利放大</w:t>
      </w:r>
      <w:r>
        <w:rPr>
          <w:rFonts w:hint="eastAsia"/>
        </w:rPr>
        <w:t>。成功关键在于“纪律</w:t>
      </w:r>
      <w:r>
        <w:t xml:space="preserve"> &gt; </w:t>
      </w:r>
      <w:r>
        <w:rPr>
          <w:rFonts w:hint="eastAsia"/>
        </w:rPr>
        <w:t>预测”，切断加仓摊平、追涨杀跌等坏习惯，建立“规则驱动的交易行为”。</w:t>
      </w:r>
    </w:p>
    <w:p w14:paraId="1FDD624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核心前提</w:t>
      </w:r>
      <w:r>
        <w:rPr>
          <w:rFonts w:hint="eastAsia"/>
        </w:rPr>
        <w:t>：绝不加杠杆融资融券（门槛高、风险大）；单笔风险极低（严格止损）；严格执行“右侧趋势交易”策略，借鉴</w:t>
      </w:r>
      <w:r>
        <w:rPr>
          <w:rFonts w:hint="eastAsia"/>
          <w:b/>
          <w:bCs/>
        </w:rPr>
        <w:t>左侧分批+右侧兑现</w:t>
      </w:r>
      <w:r>
        <w:rPr>
          <w:rFonts w:hint="eastAsia"/>
        </w:rPr>
        <w:t>思想，但以右侧为主；留有充足现金应对突发风险。</w:t>
      </w:r>
    </w:p>
    <w:p w14:paraId="6DD5A0B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风险假设</w:t>
      </w:r>
      <w:r>
        <w:rPr>
          <w:rFonts w:hint="eastAsia"/>
        </w:rPr>
        <w:t>：初始实盘资金限5,000~3万元（视情况两类账户），允许承受不超过8%-10%的单次回撤，总回撤不超过30%；假设投资者能遵守工作时间制定的</w:t>
      </w:r>
      <w:r>
        <w:rPr>
          <w:rFonts w:hint="eastAsia"/>
          <w:b/>
          <w:bCs/>
        </w:rPr>
        <w:t>交易频率限制</w:t>
      </w:r>
      <w:r>
        <w:t>。</w:t>
      </w:r>
    </w:p>
    <w:bookmarkEnd w:id="1"/>
    <w:p w14:paraId="55D1AFD0">
      <w:pPr>
        <w:pStyle w:val="2"/>
      </w:pPr>
      <w:bookmarkStart w:id="3" w:name="目标分解"/>
      <w:r>
        <w:rPr>
          <w:rFonts w:hint="eastAsia"/>
        </w:rPr>
        <w:t>目标分解</w:t>
      </w:r>
    </w:p>
    <w:p w14:paraId="0E8784D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短期目标（1~3个月）</w:t>
      </w:r>
      <w:r>
        <w:rPr>
          <w:rFonts w:hint="eastAsia"/>
        </w:rPr>
        <w:t>：控制亏损与回撤，建立严格交易规则和日志习惯；月度回撤＜10%，力求小幅盈利或轻微亏损。关键是</w:t>
      </w:r>
      <w:r>
        <w:rPr>
          <w:rFonts w:hint="eastAsia"/>
          <w:b/>
          <w:bCs/>
        </w:rPr>
        <w:t>不再大亏，形成良好的交易纪律</w:t>
      </w:r>
      <w:r>
        <w:t>。</w:t>
      </w:r>
    </w:p>
    <w:p w14:paraId="1073B78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中期目标（3~12个月）</w:t>
      </w:r>
      <w:r>
        <w:rPr>
          <w:rFonts w:hint="eastAsia"/>
        </w:rPr>
        <w:t>：验证并稳定交易系统。逐步优化选股和买卖规则，将复利滚动在小规模下逐渐扩大。期望1年内本金翻倍（≈100%年化）以上，年化回撤控制在15%-20%。</w:t>
      </w:r>
    </w:p>
    <w:p w14:paraId="379E5D9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长期目标（1-5年）</w:t>
      </w:r>
      <w:r>
        <w:rPr>
          <w:rFonts w:hint="eastAsia"/>
        </w:rPr>
        <w:t>：实现稳定的复利增长。在连续6-12个月不爆仓、回撤可控后，逐步放大仓位规模。保守模型年化收益30%-50%，激进模型60%以上；最终争取在3-5年内将3万元翻至100万元。</w:t>
      </w:r>
    </w:p>
    <w:p w14:paraId="396C81A8">
      <w:pPr>
        <w:pStyle w:val="4"/>
      </w:pPr>
      <w:bookmarkStart w:id="4" w:name="风险前提与假设"/>
      <w:r>
        <w:rPr>
          <w:rFonts w:hint="eastAsia"/>
        </w:rPr>
        <w:t>风险前提与假设</w:t>
      </w:r>
    </w:p>
    <w:p w14:paraId="6649802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资金规模</w:t>
      </w:r>
      <w:r>
        <w:rPr>
          <w:rFonts w:hint="eastAsia"/>
        </w:rPr>
        <w:t>：初期投入5,000元或3万元作为“训练资金”。其中5000元主要用来实盘演练，3万元视情形可分为“试错资金+备用资金”。严格分离实盘与备用资金（备用资金不交易，仅用作补仓或资金不幸亏光时备用）。</w:t>
      </w:r>
    </w:p>
    <w:p w14:paraId="6E3BC96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可接受回撤</w:t>
      </w:r>
      <w:r>
        <w:rPr>
          <w:rFonts w:hint="eastAsia"/>
        </w:rPr>
        <w:t>：每笔交易最大亏损设定8%-10%，总回撤不超过30%。若任一时点账户净值相较最高值回撤超过30%，立即停止加仓、全面复盘。</w:t>
      </w:r>
    </w:p>
    <w:p w14:paraId="0307D79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资金追加</w:t>
      </w:r>
      <w:r>
        <w:rPr>
          <w:rFonts w:hint="eastAsia"/>
        </w:rPr>
        <w:t>：假定短期内不追加资金（或微量追加）。若后续策略成熟，可考虑少量追加但需视复盘结果而定。</w:t>
      </w:r>
    </w:p>
    <w:p w14:paraId="0F253E8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交易时间</w:t>
      </w:r>
      <w:r>
        <w:rPr>
          <w:rFonts w:hint="eastAsia"/>
        </w:rPr>
        <w:t>：假设投资者可在盘前和盘后投入1小时复盘及计划，盘中主要执行策略，无需全天盯盘（尽量避免当日T+0操作）。</w:t>
      </w:r>
    </w:p>
    <w:p w14:paraId="270C348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行为要求</w:t>
      </w:r>
      <w:r>
        <w:rPr>
          <w:rFonts w:hint="eastAsia"/>
        </w:rPr>
        <w:t>：随时只做</w:t>
      </w:r>
      <w:r>
        <w:rPr>
          <w:rFonts w:hint="eastAsia"/>
          <w:b/>
          <w:bCs/>
        </w:rPr>
        <w:t>有把握的右侧交易</w:t>
      </w:r>
      <w:r>
        <w:rPr>
          <w:rFonts w:hint="eastAsia"/>
        </w:rPr>
        <w:t>，无论市场涨跌（指标来自我们系统），严格执行止损，违规则暂停交易（如触发违规惩罚）。</w:t>
      </w:r>
    </w:p>
    <w:bookmarkEnd w:id="4"/>
    <w:p w14:paraId="4930ECC1">
      <w:pPr>
        <w:pStyle w:val="4"/>
      </w:pPr>
      <w:bookmarkStart w:id="5" w:name="a股市场特性说明"/>
      <w:r>
        <w:rPr>
          <w:rFonts w:hint="eastAsia"/>
        </w:rPr>
        <w:t>A股市场特性说明</w:t>
      </w:r>
    </w:p>
    <w:p w14:paraId="58F4609A">
      <w:pPr>
        <w:pStyle w:val="23"/>
      </w:pPr>
      <w:r>
        <w:rPr>
          <w:rFonts w:hint="eastAsia"/>
        </w:rPr>
        <w:t>A股的交易规则和市场生态对策略有深远影响，必须理解并利用这些特性：</w:t>
      </w:r>
    </w:p>
    <w:p w14:paraId="03A786F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涨跌幅限制</w:t>
      </w:r>
      <w:r>
        <w:rPr>
          <w:rFonts w:hint="eastAsia"/>
        </w:rPr>
        <w:t>：主板/中小板股票每日涨跌幅为±10%，创业板/科创板为±20%；新股上市</w:t>
      </w:r>
      <w:r>
        <w:rPr>
          <w:rFonts w:hint="eastAsia"/>
          <w:b/>
          <w:bCs/>
        </w:rPr>
        <w:t>前5个交易日不设涨跌幅限制</w:t>
      </w:r>
      <w:r>
        <w:rPr>
          <w:rFonts w:hint="eastAsia"/>
        </w:rPr>
        <w:t>。这意味着主力题材股容易出现“闪崩”或“闪涨”，交易策略必须考虑单日最大10%的假设。</w:t>
      </w:r>
    </w:p>
    <w:p w14:paraId="70F8C15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T+1交易制度</w:t>
      </w:r>
      <w:r>
        <w:rPr>
          <w:rFonts w:hint="eastAsia"/>
        </w:rPr>
        <w:t>：A股实行“T+1”结算，即当日买入的股票当日不能卖出（资金当日可再买入），旨在抑制投机。这使得散户无法日内回转获利，只能在次日或之后出售，因此更要防止买高被套。</w:t>
      </w:r>
    </w:p>
    <w:p w14:paraId="216A825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退市与停牌</w:t>
      </w:r>
      <w:r>
        <w:rPr>
          <w:rFonts w:hint="eastAsia"/>
        </w:rPr>
        <w:t>：ST、</w:t>
      </w:r>
      <w:r>
        <w:rPr>
          <w:rFonts w:hint="eastAsia"/>
          <w:i/>
          <w:iCs/>
        </w:rPr>
        <w:t>ST及退市股可能连续停牌或快速跌停，新上市科创板前期波动特别大。应避开退市风险股（</w:t>
      </w:r>
      <w:r>
        <w:rPr>
          <w:rFonts w:hint="eastAsia"/>
        </w:rPr>
        <w:t>ST）及资质极差的新股，选股时严格过滤行业前景差、财务异常标的。</w:t>
      </w:r>
    </w:p>
    <w:p w14:paraId="1CB53AF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散户主导</w:t>
      </w:r>
      <w:r>
        <w:rPr>
          <w:rFonts w:hint="eastAsia"/>
        </w:rPr>
        <w:t>：A股市场以个人投资者为主。研究发现个人持股比例高的公司长期表现偏弱，说明散户普遍缺乏持续赚钱能力。因此策略要尽量模拟“机构”逻辑，只吃</w:t>
      </w:r>
      <w:r>
        <w:rPr>
          <w:rFonts w:hint="eastAsia"/>
          <w:b/>
          <w:bCs/>
        </w:rPr>
        <w:t>主升浪、不追热点</w:t>
      </w:r>
      <w:r>
        <w:t>。</w:t>
      </w:r>
    </w:p>
    <w:p w14:paraId="2E761AC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板块轮动与政策风险</w:t>
      </w:r>
      <w:r>
        <w:rPr>
          <w:rFonts w:hint="eastAsia"/>
        </w:rPr>
        <w:t>：A股板块轮动与宏观政策密切相关（如新能源、国企改革、消费周期等）。应密切关注国家政策导向和经济周期，聚焦当前最强板块，避免孤注一掷于无主题市场中。</w:t>
      </w:r>
    </w:p>
    <w:p w14:paraId="5952B75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融资融券限制</w:t>
      </w:r>
      <w:r>
        <w:rPr>
          <w:rFonts w:hint="eastAsia"/>
        </w:rPr>
        <w:t>：开通融资融券账户需要20日均资≥50万且交易经验≥半年，绝大多数散户无法参与。即</w:t>
      </w:r>
      <w:r>
        <w:rPr>
          <w:rFonts w:hint="eastAsia"/>
          <w:b/>
          <w:bCs/>
        </w:rPr>
        <w:t>只有多头（做多）策略</w:t>
      </w:r>
      <w:r>
        <w:rPr>
          <w:rFonts w:hint="eastAsia"/>
        </w:rPr>
        <w:t>可行，做空和T+0套利对散户几乎无利可图。这也意味着下跌时散户常常“被套”而只能死扛或割肉。</w:t>
      </w:r>
    </w:p>
    <w:p w14:paraId="41E1C0A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高频交易受限</w:t>
      </w:r>
      <w:r>
        <w:rPr>
          <w:rFonts w:hint="eastAsia"/>
        </w:rPr>
        <w:t>：目前A股普通账户日内交易次数不限，但要使用自有资金，并且做T+0时买卖资金先从券商借来、再交割，风险和成本高。如果在盘中频繁操作，成交费用和交易延迟也会显著影响收益。</w:t>
      </w:r>
      <w:r>
        <w:rPr>
          <w:rFonts w:hint="eastAsia"/>
          <w:b/>
          <w:bCs/>
        </w:rPr>
        <w:t>散户的竞赛优势在于长线趋势而非秒杀低价</w:t>
      </w:r>
      <w:r>
        <w:t>。</w:t>
      </w:r>
    </w:p>
    <w:p w14:paraId="0FAF8F9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案例参考</w:t>
      </w:r>
      <w:r>
        <w:rPr>
          <w:rFonts w:hint="eastAsia"/>
        </w:rPr>
        <w:t>：下图为某交易软件中的多种走势图示例【41†embed_image】。可以看到A股市场时常出现剧烈的</w:t>
      </w:r>
      <w:r>
        <w:rPr>
          <w:rFonts w:hint="eastAsia"/>
          <w:b/>
          <w:bCs/>
        </w:rPr>
        <w:t>跳涨跳水</w:t>
      </w:r>
      <w:r>
        <w:rPr>
          <w:rFonts w:hint="eastAsia"/>
        </w:rPr>
        <w:t>（图中多条曲线尖锐上冲下挫）。结合上述规则，这提醒我们始终要有充足准备应对单日10%的极端变化，同时严格止损、防止情绪化持仓。</w:t>
      </w:r>
    </w:p>
    <w:p w14:paraId="4C149282">
      <w:pPr>
        <w:pStyle w:val="23"/>
      </w:pPr>
      <w:r>
        <w:t>【41†embed_image】</w:t>
      </w:r>
      <w:r>
        <w:rPr>
          <w:rFonts w:hint="eastAsia"/>
          <w:i/>
          <w:iCs/>
        </w:rPr>
        <w:t>图：典型的交易软件界面示例，显示多条股价走势图。A股经常出现剧烈波动（尖峰与长阴），因此严格风险控制和及时止损至关重要。</w:t>
      </w:r>
    </w:p>
    <w:bookmarkEnd w:id="5"/>
    <w:p w14:paraId="1DEA7771">
      <w:pPr>
        <w:pStyle w:val="4"/>
      </w:pPr>
      <w:bookmarkStart w:id="6" w:name="选股逻辑"/>
      <w:r>
        <w:rPr>
          <w:rFonts w:hint="eastAsia"/>
        </w:rPr>
        <w:t>选股逻辑</w:t>
      </w:r>
    </w:p>
    <w:p w14:paraId="7FA9D196">
      <w:pPr>
        <w:pStyle w:val="23"/>
      </w:pPr>
      <w:r>
        <w:rPr>
          <w:rFonts w:hint="eastAsia"/>
        </w:rPr>
        <w:t>选股时需同时考虑</w:t>
      </w:r>
      <w:r>
        <w:rPr>
          <w:rFonts w:hint="eastAsia"/>
          <w:b/>
          <w:bCs/>
        </w:rPr>
        <w:t>趋势面、资金面和基本面</w:t>
      </w:r>
      <w:r>
        <w:rPr>
          <w:rFonts w:hint="eastAsia"/>
        </w:rPr>
        <w:t>，切忌盲目追涨或埋伏题材。以下原则可作为可执行的选股</w:t>
      </w:r>
      <w:r>
        <w:rPr>
          <w:rFonts w:hint="eastAsia"/>
          <w:b/>
          <w:bCs/>
        </w:rPr>
        <w:t>筛选条件</w:t>
      </w:r>
      <w:r>
        <w:rPr>
          <w:rFonts w:hint="eastAsia"/>
        </w:rPr>
        <w:t>：</w:t>
      </w:r>
    </w:p>
    <w:p w14:paraId="4A13284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趋势条件</w:t>
      </w:r>
      <w:r>
        <w:rPr>
          <w:rFonts w:hint="eastAsia"/>
        </w:rPr>
        <w:t>：目标股票应处于</w:t>
      </w:r>
      <w:r>
        <w:rPr>
          <w:rFonts w:hint="eastAsia"/>
          <w:b/>
          <w:bCs/>
        </w:rPr>
        <w:t>多头趋势</w:t>
      </w:r>
      <w:r>
        <w:rPr>
          <w:rFonts w:hint="eastAsia"/>
        </w:rPr>
        <w:t>或刚开始起涨。具体可量化为：</w:t>
      </w:r>
    </w:p>
    <w:p w14:paraId="62A4D26A">
      <w:pPr>
        <w:pStyle w:val="24"/>
        <w:numPr>
          <w:ilvl w:val="0"/>
          <w:numId w:val="1"/>
        </w:numPr>
      </w:pPr>
      <w:r>
        <w:rPr>
          <w:rStyle w:val="48"/>
          <w:rFonts w:hint="eastAsia"/>
        </w:rPr>
        <w:t>5日、10日、20日均线多头排列</w:t>
      </w:r>
      <w:r>
        <w:rPr>
          <w:rFonts w:hint="eastAsia"/>
        </w:rPr>
        <w:t>（5日＞10日＞20日且均线向上）</w:t>
      </w:r>
    </w:p>
    <w:p w14:paraId="115B663E">
      <w:pPr>
        <w:pStyle w:val="24"/>
        <w:numPr>
          <w:ilvl w:val="0"/>
          <w:numId w:val="1"/>
        </w:numPr>
      </w:pPr>
      <w:r>
        <w:rPr>
          <w:rFonts w:hint="eastAsia"/>
        </w:rPr>
        <w:t>股价持续在</w:t>
      </w:r>
      <w:r>
        <w:rPr>
          <w:rFonts w:hint="eastAsia"/>
          <w:b/>
          <w:bCs/>
        </w:rPr>
        <w:t>20日均线以上</w:t>
      </w:r>
      <w:r>
        <w:rPr>
          <w:rFonts w:hint="eastAsia"/>
        </w:rPr>
        <w:t>，且近期未跌破（趋势线支持）。</w:t>
      </w:r>
    </w:p>
    <w:p w14:paraId="1DEB38D9">
      <w:pPr>
        <w:numPr>
          <w:ilvl w:val="0"/>
          <w:numId w:val="1"/>
        </w:numPr>
      </w:pPr>
      <w:r>
        <w:rPr>
          <w:rFonts w:hint="eastAsia"/>
        </w:rPr>
        <w:t>最近2~3个月上涨振幅居同行业前列（相对强度高）。</w:t>
      </w:r>
    </w:p>
    <w:p w14:paraId="319DB4A6">
      <w:pPr>
        <w:numPr>
          <w:ilvl w:val="0"/>
          <w:numId w:val="1"/>
        </w:numPr>
      </w:pPr>
      <w:r>
        <w:rPr>
          <w:rFonts w:hint="eastAsia"/>
          <w:b/>
          <w:bCs/>
        </w:rPr>
        <w:t>成交量条件</w:t>
      </w:r>
      <w:r>
        <w:rPr>
          <w:rFonts w:hint="eastAsia"/>
        </w:rPr>
        <w:t>：突破或启动时需</w:t>
      </w:r>
      <w:r>
        <w:rPr>
          <w:rFonts w:hint="eastAsia"/>
          <w:b/>
          <w:bCs/>
        </w:rPr>
        <w:t>成交量放大</w:t>
      </w:r>
      <w:r>
        <w:rPr>
          <w:rFonts w:hint="eastAsia"/>
        </w:rPr>
        <w:t>，如：</w:t>
      </w:r>
    </w:p>
    <w:p w14:paraId="21A3D030">
      <w:pPr>
        <w:pStyle w:val="24"/>
        <w:numPr>
          <w:ilvl w:val="0"/>
          <w:numId w:val="1"/>
        </w:numPr>
      </w:pPr>
      <w:r>
        <w:rPr>
          <w:rFonts w:hint="eastAsia"/>
        </w:rPr>
        <w:t>突破整理区时当日成交量≥过去20日均量的1.2倍。</w:t>
      </w:r>
    </w:p>
    <w:p w14:paraId="6FB3F39C">
      <w:pPr>
        <w:numPr>
          <w:ilvl w:val="0"/>
          <w:numId w:val="1"/>
        </w:numPr>
      </w:pPr>
      <w:r>
        <w:rPr>
          <w:rFonts w:hint="eastAsia"/>
        </w:rPr>
        <w:t>每次回调至均线附近时成交明显</w:t>
      </w:r>
      <w:r>
        <w:rPr>
          <w:rFonts w:hint="eastAsia"/>
          <w:b/>
          <w:bCs/>
        </w:rPr>
        <w:t>萎缩</w:t>
      </w:r>
      <w:r>
        <w:rPr>
          <w:rFonts w:hint="eastAsia"/>
        </w:rPr>
        <w:t>，反弹时再放量。</w:t>
      </w:r>
    </w:p>
    <w:p w14:paraId="0E0BFAFB">
      <w:pPr>
        <w:numPr>
          <w:ilvl w:val="0"/>
          <w:numId w:val="1"/>
        </w:numPr>
      </w:pPr>
      <w:r>
        <w:rPr>
          <w:rFonts w:hint="eastAsia"/>
          <w:b/>
          <w:bCs/>
        </w:rPr>
        <w:t>板块/题材强度</w:t>
      </w:r>
      <w:r>
        <w:rPr>
          <w:rFonts w:hint="eastAsia"/>
        </w:rPr>
        <w:t>：只选</w:t>
      </w:r>
      <w:r>
        <w:rPr>
          <w:rFonts w:hint="eastAsia"/>
          <w:b/>
          <w:bCs/>
        </w:rPr>
        <w:t>板块强势</w:t>
      </w:r>
      <w:r>
        <w:rPr>
          <w:rFonts w:hint="eastAsia"/>
        </w:rPr>
        <w:t>或轮动主线上的股票。可用行业指数表现或资金流向来判断：</w:t>
      </w:r>
    </w:p>
    <w:p w14:paraId="4014D265">
      <w:pPr>
        <w:pStyle w:val="24"/>
        <w:numPr>
          <w:ilvl w:val="0"/>
          <w:numId w:val="1"/>
        </w:numPr>
      </w:pPr>
      <w:r>
        <w:rPr>
          <w:rFonts w:hint="eastAsia"/>
        </w:rPr>
        <w:t>该股所属板块近月内涨幅居前，个股跌幅小；</w:t>
      </w:r>
    </w:p>
    <w:p w14:paraId="17B10223">
      <w:pPr>
        <w:pStyle w:val="24"/>
        <w:numPr>
          <w:ilvl w:val="0"/>
          <w:numId w:val="1"/>
        </w:numPr>
      </w:pPr>
      <w:r>
        <w:rPr>
          <w:rFonts w:hint="eastAsia"/>
        </w:rPr>
        <w:t>板块题材受到政策支持或资金追捧，如新能源、半导体等。</w:t>
      </w:r>
    </w:p>
    <w:p w14:paraId="5D0C9AD0">
      <w:pPr>
        <w:numPr>
          <w:ilvl w:val="0"/>
          <w:numId w:val="1"/>
        </w:numPr>
      </w:pPr>
      <w:r>
        <w:rPr>
          <w:rFonts w:hint="eastAsia"/>
        </w:rPr>
        <w:t>尽量避开无明确主线的杂乱题材股。</w:t>
      </w:r>
    </w:p>
    <w:p w14:paraId="11C3A8DE">
      <w:pPr>
        <w:numPr>
          <w:ilvl w:val="0"/>
          <w:numId w:val="1"/>
        </w:numPr>
      </w:pPr>
      <w:r>
        <w:rPr>
          <w:rFonts w:hint="eastAsia"/>
          <w:b/>
          <w:bCs/>
        </w:rPr>
        <w:t>基本面过滤</w:t>
      </w:r>
      <w:r>
        <w:rPr>
          <w:rFonts w:hint="eastAsia"/>
        </w:rPr>
        <w:t>：虽然主要做技术，但也要避免财务恶化的标的。可筛选：</w:t>
      </w:r>
    </w:p>
    <w:p w14:paraId="0E90F7D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盈利稳定</w:t>
      </w:r>
      <w:r>
        <w:rPr>
          <w:rFonts w:hint="eastAsia"/>
        </w:rPr>
        <w:t>：最近1年净利润≥0，ROE（净资产收益率）&gt;5%-10%。</w:t>
      </w:r>
    </w:p>
    <w:p w14:paraId="297617F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负债合理</w:t>
      </w:r>
      <w:r>
        <w:rPr>
          <w:rFonts w:hint="eastAsia"/>
        </w:rPr>
        <w:t>：资产负债率不高，现金流稳定。</w:t>
      </w:r>
    </w:p>
    <w:p w14:paraId="3CD3274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成长性</w:t>
      </w:r>
      <w:r>
        <w:rPr>
          <w:rFonts w:hint="eastAsia"/>
        </w:rPr>
        <w:t>：主营业务连续增长，无重大亏损预警。</w:t>
      </w:r>
    </w:p>
    <w:p w14:paraId="3ACFD56D">
      <w:pPr>
        <w:numPr>
          <w:ilvl w:val="0"/>
          <w:numId w:val="1"/>
        </w:numPr>
      </w:pPr>
      <w:r>
        <w:rPr>
          <w:rFonts w:hint="eastAsia"/>
        </w:rPr>
        <w:t>不交易ST/*ST及财务造假风险股。</w:t>
      </w:r>
    </w:p>
    <w:p w14:paraId="175CBC02">
      <w:pPr>
        <w:numPr>
          <w:ilvl w:val="0"/>
          <w:numId w:val="1"/>
        </w:numPr>
      </w:pPr>
      <w:r>
        <w:rPr>
          <w:rFonts w:hint="eastAsia"/>
          <w:b/>
          <w:bCs/>
        </w:rPr>
        <w:t>典型选股示例（公式化）</w:t>
      </w:r>
      <w:r>
        <w:rPr>
          <w:rFonts w:hint="eastAsia"/>
        </w:rPr>
        <w:t>：可以在选股软件或API中设置条件，例如：</w:t>
      </w:r>
      <w:r>
        <w:br w:type="textWrapping"/>
      </w:r>
    </w:p>
    <w:p w14:paraId="78D8EC7B">
      <w:pPr>
        <w:pStyle w:val="49"/>
        <w:numPr>
          <w:ilvl w:val="0"/>
          <w:numId w:val="2"/>
        </w:numPr>
      </w:pPr>
      <w:r>
        <w:rPr>
          <w:rStyle w:val="48"/>
          <w:rFonts w:hint="eastAsia"/>
        </w:rPr>
        <w:t>选股条件：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收盘价</w:t>
      </w:r>
      <w:r>
        <w:rPr>
          <w:rStyle w:val="48"/>
        </w:rPr>
        <w:t xml:space="preserve"> &gt; </w:t>
      </w:r>
      <w:r>
        <w:rPr>
          <w:rStyle w:val="48"/>
          <w:rFonts w:hint="eastAsia"/>
        </w:rPr>
        <w:t>20日均线，20日均线上升且5日&gt;10日均线。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最近60日最高价出现突破或创历史新高。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当日成交量</w:t>
      </w:r>
      <w:r>
        <w:rPr>
          <w:rStyle w:val="48"/>
        </w:rPr>
        <w:t xml:space="preserve"> &gt; </w:t>
      </w:r>
      <w:r>
        <w:rPr>
          <w:rStyle w:val="48"/>
          <w:rFonts w:hint="eastAsia"/>
        </w:rPr>
        <w:t>20日均量</w:t>
      </w:r>
      <w:r>
        <w:rPr>
          <w:rStyle w:val="48"/>
        </w:rPr>
        <w:t xml:space="preserve"> * 1.2。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最近季度报告净利润同比增长</w:t>
      </w:r>
      <w:r>
        <w:rPr>
          <w:rStyle w:val="48"/>
        </w:rPr>
        <w:t xml:space="preserve"> &gt; 0。</w:t>
      </w:r>
    </w:p>
    <w:p w14:paraId="6A96C5F5">
      <w:pPr>
        <w:pStyle w:val="23"/>
      </w:pPr>
      <w:r>
        <w:rPr>
          <w:rFonts w:hint="eastAsia"/>
        </w:rPr>
        <w:t>只满足上述条件的股票进入候选池。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5629"/>
      </w:tblGrid>
      <w:tr w14:paraId="7074B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4F39A3">
            <w:pPr>
              <w:pStyle w:val="24"/>
            </w:pPr>
            <w:r>
              <w:rPr>
                <w:rFonts w:hint="eastAsia"/>
              </w:rPr>
              <w:t>选股条件</w:t>
            </w:r>
          </w:p>
        </w:tc>
        <w:tc>
          <w:p w14:paraId="7AE4B382">
            <w:pPr>
              <w:pStyle w:val="24"/>
            </w:pPr>
            <w:r>
              <w:rPr>
                <w:rFonts w:hint="eastAsia"/>
              </w:rPr>
              <w:t>筛选说明</w:t>
            </w:r>
          </w:p>
        </w:tc>
      </w:tr>
      <w:tr w14:paraId="71486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E1A836">
            <w:pPr>
              <w:pStyle w:val="24"/>
            </w:pPr>
            <w:r>
              <w:rPr>
                <w:rFonts w:hint="eastAsia"/>
                <w:b/>
                <w:bCs/>
              </w:rPr>
              <w:t>均线多头</w:t>
            </w:r>
          </w:p>
        </w:tc>
        <w:tc>
          <w:p w14:paraId="558054B1">
            <w:pPr>
              <w:pStyle w:val="24"/>
            </w:pPr>
            <w:r>
              <w:rPr>
                <w:rFonts w:hint="eastAsia"/>
              </w:rPr>
              <w:t>5日</w:t>
            </w:r>
            <w:r>
              <w:t xml:space="preserve"> &gt; </w:t>
            </w:r>
            <w:r>
              <w:rPr>
                <w:rFonts w:hint="eastAsia"/>
              </w:rPr>
              <w:t>10日</w:t>
            </w:r>
            <w:r>
              <w:t xml:space="preserve"> &gt; </w:t>
            </w:r>
            <w:r>
              <w:rPr>
                <w:rFonts w:hint="eastAsia"/>
              </w:rPr>
              <w:t>20日</w:t>
            </w:r>
            <w:r>
              <w:t xml:space="preserve"> </w:t>
            </w:r>
            <w:r>
              <w:rPr>
                <w:rFonts w:hint="eastAsia"/>
              </w:rPr>
              <w:t>且20日均线上升</w:t>
            </w:r>
          </w:p>
        </w:tc>
      </w:tr>
      <w:tr w14:paraId="5DF0C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8A618">
            <w:pPr>
              <w:pStyle w:val="24"/>
            </w:pPr>
            <w:r>
              <w:rPr>
                <w:rFonts w:hint="eastAsia"/>
                <w:b/>
                <w:bCs/>
              </w:rPr>
              <w:t>股价状态</w:t>
            </w:r>
          </w:p>
        </w:tc>
        <w:tc>
          <w:p w14:paraId="52BFA69D">
            <w:pPr>
              <w:pStyle w:val="24"/>
            </w:pPr>
            <w:r>
              <w:rPr>
                <w:rFonts w:hint="eastAsia"/>
              </w:rPr>
              <w:t>连续回调不破20日线，上涨时连创新高</w:t>
            </w:r>
          </w:p>
        </w:tc>
      </w:tr>
      <w:tr w14:paraId="5D5F0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E67FA0">
            <w:pPr>
              <w:pStyle w:val="24"/>
            </w:pPr>
            <w:r>
              <w:rPr>
                <w:rFonts w:hint="eastAsia"/>
                <w:b/>
                <w:bCs/>
              </w:rPr>
              <w:t>成交量</w:t>
            </w:r>
          </w:p>
        </w:tc>
        <w:tc>
          <w:p w14:paraId="5F3D505D">
            <w:pPr>
              <w:pStyle w:val="24"/>
            </w:pPr>
            <w:r>
              <w:rPr>
                <w:rFonts w:hint="eastAsia"/>
              </w:rPr>
              <w:t>突破时日量增至20日均量1.2倍以上，回调量缩</w:t>
            </w:r>
          </w:p>
        </w:tc>
      </w:tr>
      <w:tr w14:paraId="28F9A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22E29">
            <w:pPr>
              <w:pStyle w:val="24"/>
            </w:pPr>
            <w:r>
              <w:rPr>
                <w:rFonts w:hint="eastAsia"/>
                <w:b/>
                <w:bCs/>
              </w:rPr>
              <w:t>板块强度</w:t>
            </w:r>
          </w:p>
        </w:tc>
        <w:tc>
          <w:p w14:paraId="4ED2F3A2">
            <w:pPr>
              <w:pStyle w:val="24"/>
            </w:pPr>
            <w:r>
              <w:rPr>
                <w:rFonts w:hint="eastAsia"/>
              </w:rPr>
              <w:t>板块近期表现领先，总体资金流入较多</w:t>
            </w:r>
          </w:p>
        </w:tc>
      </w:tr>
      <w:tr w14:paraId="382D2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532FC">
            <w:pPr>
              <w:pStyle w:val="24"/>
            </w:pPr>
            <w:r>
              <w:rPr>
                <w:rFonts w:hint="eastAsia"/>
                <w:b/>
                <w:bCs/>
              </w:rPr>
              <w:t>财务指标</w:t>
            </w:r>
          </w:p>
        </w:tc>
        <w:tc>
          <w:p w14:paraId="0C12138A">
            <w:pPr>
              <w:pStyle w:val="24"/>
            </w:pPr>
            <w:r>
              <w:rPr>
                <w:rFonts w:hint="eastAsia"/>
              </w:rPr>
              <w:t>ROE&gt;5%，最近1季度净利为正，无连续亏损警示</w:t>
            </w:r>
          </w:p>
        </w:tc>
      </w:tr>
      <w:bookmarkEnd w:id="6"/>
    </w:tbl>
    <w:p w14:paraId="4BEBA1B4">
      <w:pPr>
        <w:pStyle w:val="4"/>
      </w:pPr>
      <w:bookmarkStart w:id="7" w:name="买卖规则"/>
      <w:r>
        <w:rPr>
          <w:rFonts w:hint="eastAsia"/>
        </w:rPr>
        <w:t>买卖规则</w:t>
      </w:r>
    </w:p>
    <w:p w14:paraId="3FCBBBDE">
      <w:pPr>
        <w:pStyle w:val="23"/>
      </w:pPr>
      <w:r>
        <w:rPr>
          <w:rFonts w:hint="eastAsia"/>
          <w:b/>
          <w:bCs/>
        </w:rPr>
        <w:t>严格执行右侧买点、纪律止损、并分级减仓止盈</w:t>
      </w:r>
      <w:r>
        <w:rPr>
          <w:rFonts w:hint="eastAsia"/>
        </w:rPr>
        <w:t>。具体规则示例（示意图【46†embed_image】仅供说明，不构成预测）：</w:t>
      </w:r>
    </w:p>
    <w:p w14:paraId="6FE142B5">
      <w:pPr>
        <w:pStyle w:val="3"/>
      </w:pPr>
      <w:r>
        <w:t>【46†embed_image】</w:t>
      </w:r>
      <w:r>
        <w:rPr>
          <w:rFonts w:hint="eastAsia"/>
          <w:i/>
          <w:iCs/>
        </w:rPr>
        <w:t>图：典型的右侧买点和止损示例（K线图示意）。当股价经过横盘整理后放量突破，随后回踩5/10日均线企稳，是标准的趋势买入信号。图中蓝线为均线，红绿柱为日K线。</w:t>
      </w:r>
    </w:p>
    <w:p w14:paraId="0D4D5F0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买入信号（右侧）</w:t>
      </w:r>
      <w:r>
        <w:rPr>
          <w:rFonts w:hint="eastAsia"/>
        </w:rPr>
        <w:t>：必须同时满足趋势和突破两大条件：</w:t>
      </w:r>
    </w:p>
    <w:p w14:paraId="0F1AED0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趋势成立</w:t>
      </w:r>
      <w:r>
        <w:rPr>
          <w:rFonts w:hint="eastAsia"/>
        </w:rPr>
        <w:t>：20日均线向上，5/10日线上方；大盘或板块无明显利空。</w:t>
      </w:r>
    </w:p>
    <w:p w14:paraId="3380AC4E">
      <w:pPr>
        <w:numPr>
          <w:ilvl w:val="0"/>
          <w:numId w:val="1"/>
        </w:numPr>
      </w:pPr>
      <w:r>
        <w:rPr>
          <w:rFonts w:hint="eastAsia"/>
          <w:b/>
          <w:bCs/>
        </w:rPr>
        <w:t>具体买点</w:t>
      </w:r>
      <w:r>
        <w:rPr>
          <w:rFonts w:hint="eastAsia"/>
        </w:rPr>
        <w:t>（至少满足一项）：</w:t>
      </w:r>
    </w:p>
    <w:p w14:paraId="4FFF233B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放量突破</w:t>
      </w:r>
      <w:r>
        <w:rPr>
          <w:rFonts w:hint="eastAsia"/>
        </w:rPr>
        <w:t>：股价放量突破前期盘整区或历史局部高点后首个交易日收盘确认。</w:t>
      </w:r>
    </w:p>
    <w:p w14:paraId="267DE945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回踩不破</w:t>
      </w:r>
      <w:r>
        <w:rPr>
          <w:rFonts w:hint="eastAsia"/>
        </w:rPr>
        <w:t>：上涨趋势中回调至10日或5日线附近且不跌破，出现下影线或缩量后再度上扬。</w:t>
      </w:r>
    </w:p>
    <w:p w14:paraId="572ABD9D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均线金叉起涨</w:t>
      </w:r>
      <w:r>
        <w:rPr>
          <w:rFonts w:hint="eastAsia"/>
        </w:rPr>
        <w:t>：5日线或10日线上穿20日线，并有放量信号。</w:t>
      </w:r>
      <w:r>
        <w:br w:type="textWrapping"/>
      </w:r>
      <w:r>
        <w:rPr>
          <w:rFonts w:hint="eastAsia"/>
        </w:rPr>
        <w:t>对于任一符合上述条件的股票，可在盘中择机分批建仓。</w:t>
      </w:r>
      <w:r>
        <w:rPr>
          <w:rFonts w:hint="eastAsia"/>
          <w:b/>
          <w:bCs/>
        </w:rPr>
        <w:t>绝不抄底</w:t>
      </w:r>
      <w:r>
        <w:rPr>
          <w:rFonts w:hint="eastAsia"/>
        </w:rPr>
        <w:t>：任何“跌多了买”属于逆势买入，要一律回避。</w:t>
      </w:r>
    </w:p>
    <w:p w14:paraId="76BB49AF">
      <w:pPr>
        <w:numPr>
          <w:ilvl w:val="0"/>
          <w:numId w:val="1"/>
        </w:numPr>
      </w:pPr>
      <w:r>
        <w:rPr>
          <w:rFonts w:hint="eastAsia"/>
          <w:b/>
          <w:bCs/>
        </w:rPr>
        <w:t>仓位分配</w:t>
      </w:r>
      <w:r>
        <w:rPr>
          <w:rFonts w:hint="eastAsia"/>
        </w:rPr>
        <w:t>：每笔新开仓</w:t>
      </w:r>
      <w:r>
        <w:rPr>
          <w:rFonts w:hint="eastAsia"/>
          <w:b/>
          <w:bCs/>
        </w:rPr>
        <w:t>建议10%~20%仓位</w:t>
      </w:r>
      <w:r>
        <w:rPr>
          <w:rFonts w:hint="eastAsia"/>
        </w:rPr>
        <w:t>。如果信号较强可分两次建仓，每次仓位合计≤20%。首次买入后不加仓，除非后续确认突破未回落。</w:t>
      </w:r>
    </w:p>
    <w:p w14:paraId="08063587">
      <w:pPr>
        <w:numPr>
          <w:ilvl w:val="0"/>
          <w:numId w:val="1"/>
        </w:numPr>
      </w:pPr>
      <w:r>
        <w:rPr>
          <w:rFonts w:hint="eastAsia"/>
          <w:b/>
          <w:bCs/>
        </w:rPr>
        <w:t>止损规则（铁律）</w:t>
      </w:r>
      <w:r>
        <w:rPr>
          <w:rFonts w:hint="eastAsia"/>
        </w:rPr>
        <w:t>：任何买入后若亏损触及</w:t>
      </w:r>
      <w:r>
        <w:rPr>
          <w:rFonts w:hint="eastAsia"/>
          <w:b/>
          <w:bCs/>
        </w:rPr>
        <w:t>-8%至-10%</w:t>
      </w:r>
      <w:r>
        <w:rPr>
          <w:rFonts w:hint="eastAsia"/>
        </w:rPr>
        <w:t>，立即清仓离场。不允许“再等等”或“摊平加仓”。止损时一股也不留或减仓50%（取决于回撤规模），防止中线损失放大。</w:t>
      </w:r>
    </w:p>
    <w:p w14:paraId="4378299D">
      <w:pPr>
        <w:numPr>
          <w:ilvl w:val="0"/>
          <w:numId w:val="1"/>
        </w:numPr>
      </w:pPr>
      <w:r>
        <w:rPr>
          <w:rFonts w:hint="eastAsia"/>
          <w:b/>
          <w:bCs/>
        </w:rPr>
        <w:t>止盈规则</w:t>
      </w:r>
      <w:r>
        <w:rPr>
          <w:rFonts w:hint="eastAsia"/>
        </w:rPr>
        <w:t>：分两种情况：</w:t>
      </w:r>
    </w:p>
    <w:p w14:paraId="4DA1E43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趋势结束</w:t>
      </w:r>
      <w:r>
        <w:rPr>
          <w:rFonts w:hint="eastAsia"/>
        </w:rPr>
        <w:t>：若股价连续几日高位阴线或放量滞涨（见图示），表明主力兑现，可部分或全部清仓。</w:t>
      </w:r>
    </w:p>
    <w:p w14:paraId="0DBB48B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均线跌破</w:t>
      </w:r>
      <w:r>
        <w:rPr>
          <w:rFonts w:hint="eastAsia"/>
        </w:rPr>
        <w:t>：当股价跌破5日均线时，建议</w:t>
      </w:r>
      <w:r>
        <w:rPr>
          <w:rFonts w:hint="eastAsia"/>
          <w:b/>
          <w:bCs/>
        </w:rPr>
        <w:t>减仓一半</w:t>
      </w:r>
      <w:r>
        <w:rPr>
          <w:rFonts w:hint="eastAsia"/>
        </w:rPr>
        <w:t>止盈；若跌破20日均线，则果断清仓出局。</w:t>
      </w:r>
    </w:p>
    <w:p w14:paraId="65725B30">
      <w:pPr>
        <w:numPr>
          <w:ilvl w:val="0"/>
          <w:numId w:val="1"/>
        </w:numPr>
      </w:pPr>
      <w:r>
        <w:rPr>
          <w:rFonts w:hint="eastAsia"/>
          <w:b/>
          <w:bCs/>
        </w:rPr>
        <w:t>目标价位</w:t>
      </w:r>
      <w:r>
        <w:rPr>
          <w:rFonts w:hint="eastAsia"/>
        </w:rPr>
        <w:t>：初期可设盈利目标（如+15%-20%）在位，但切忌贪婪追高。</w:t>
      </w:r>
    </w:p>
    <w:p w14:paraId="015626F0">
      <w:pPr>
        <w:numPr>
          <w:ilvl w:val="0"/>
          <w:numId w:val="1"/>
        </w:numPr>
      </w:pPr>
      <w:r>
        <w:rPr>
          <w:rFonts w:hint="eastAsia"/>
          <w:b/>
          <w:bCs/>
        </w:rPr>
        <w:t>交易纪律</w:t>
      </w:r>
      <w:r>
        <w:rPr>
          <w:rFonts w:hint="eastAsia"/>
        </w:rPr>
        <w:t>：每次交易前必须回答5个“自检问题”：</w:t>
      </w:r>
    </w:p>
    <w:p w14:paraId="3673B2C4">
      <w:pPr>
        <w:pStyle w:val="24"/>
        <w:numPr>
          <w:ilvl w:val="0"/>
          <w:numId w:val="1"/>
        </w:numPr>
      </w:pPr>
      <w:r>
        <w:rPr>
          <w:rFonts w:hint="eastAsia"/>
        </w:rPr>
        <w:t>当前信号符合上述右侧买点吗？</w:t>
      </w:r>
    </w:p>
    <w:p w14:paraId="4A585C80">
      <w:pPr>
        <w:pStyle w:val="24"/>
        <w:numPr>
          <w:ilvl w:val="0"/>
          <w:numId w:val="1"/>
        </w:numPr>
      </w:pPr>
      <w:r>
        <w:rPr>
          <w:rFonts w:hint="eastAsia"/>
        </w:rPr>
        <w:t>计划的止损价位在哪？（亏损达8%卖）</w:t>
      </w:r>
    </w:p>
    <w:p w14:paraId="23689AA5">
      <w:pPr>
        <w:pStyle w:val="24"/>
        <w:numPr>
          <w:ilvl w:val="0"/>
          <w:numId w:val="1"/>
        </w:numPr>
      </w:pPr>
      <w:r>
        <w:rPr>
          <w:rFonts w:hint="eastAsia"/>
        </w:rPr>
        <w:t>如果亏10%我能接受吗？（答案必须是可以）</w:t>
      </w:r>
    </w:p>
    <w:p w14:paraId="7DC53D35">
      <w:pPr>
        <w:pStyle w:val="24"/>
        <w:numPr>
          <w:ilvl w:val="0"/>
          <w:numId w:val="1"/>
        </w:numPr>
      </w:pPr>
      <w:r>
        <w:rPr>
          <w:rFonts w:hint="eastAsia"/>
        </w:rPr>
        <w:t>是否为热门题材、新闻驱动导致的跳水？</w:t>
      </w:r>
    </w:p>
    <w:p w14:paraId="2D2D7AB9">
      <w:pPr>
        <w:pStyle w:val="24"/>
        <w:numPr>
          <w:ilvl w:val="0"/>
          <w:numId w:val="1"/>
        </w:numPr>
      </w:pPr>
      <w:r>
        <w:rPr>
          <w:rFonts w:hint="eastAsia"/>
        </w:rPr>
        <w:t>现在我是严格按规则交易，还是冲动想翻本？（冲动即停手）</w:t>
      </w:r>
    </w:p>
    <w:p w14:paraId="359B5D59">
      <w:pPr>
        <w:pStyle w:val="23"/>
      </w:pPr>
      <w:r>
        <w:rPr>
          <w:rFonts w:hint="eastAsia"/>
        </w:rPr>
        <w:t>违反任何一条，就</w:t>
      </w:r>
      <w:r>
        <w:rPr>
          <w:rFonts w:hint="eastAsia"/>
          <w:b/>
          <w:bCs/>
        </w:rPr>
        <w:t>坚决不下单</w:t>
      </w:r>
      <w:r>
        <w:rPr>
          <w:rFonts w:hint="eastAsia"/>
        </w:rPr>
        <w:t>。违反后要写入交易日志，作为后续复盘重点。</w:t>
      </w:r>
    </w:p>
    <w:bookmarkEnd w:id="7"/>
    <w:p w14:paraId="1E05AC4D">
      <w:pPr>
        <w:pStyle w:val="4"/>
      </w:pPr>
      <w:bookmarkStart w:id="8" w:name="仓位与资金管理"/>
      <w:r>
        <w:rPr>
          <w:rFonts w:hint="eastAsia"/>
        </w:rPr>
        <w:t>仓位与资金管理</w:t>
      </w:r>
    </w:p>
    <w:p w14:paraId="314AA30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单票仓位</w:t>
      </w:r>
      <w:r>
        <w:rPr>
          <w:rFonts w:hint="eastAsia"/>
        </w:rPr>
        <w:t>：每只股票建仓不超过资金的10%-20%。确保个股回撤不会毁灭整体组合。</w:t>
      </w:r>
    </w:p>
    <w:p w14:paraId="1C2F790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总仓位上限</w:t>
      </w:r>
      <w:r>
        <w:rPr>
          <w:rFonts w:hint="eastAsia"/>
        </w:rPr>
        <w:t>：整个账户总仓位控制在50%-70%以内，留有30%-50%现金缓冲，以应对不可预见的系统性风险。</w:t>
      </w:r>
    </w:p>
    <w:p w14:paraId="0CFBCE7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资金分账户</w:t>
      </w:r>
      <w:r>
        <w:rPr>
          <w:rFonts w:hint="eastAsia"/>
        </w:rPr>
        <w:t>：建议设置“主账户”和“利润账户”双账户：</w:t>
      </w:r>
    </w:p>
    <w:p w14:paraId="4AE0E412">
      <w:pPr>
        <w:pStyle w:val="24"/>
        <w:numPr>
          <w:ilvl w:val="0"/>
          <w:numId w:val="1"/>
        </w:numPr>
      </w:pPr>
      <w:r>
        <w:rPr>
          <w:rFonts w:hint="eastAsia"/>
          <w:i/>
          <w:iCs/>
        </w:rPr>
        <w:t>主账户</w:t>
      </w:r>
      <w:r>
        <w:rPr>
          <w:rFonts w:hint="eastAsia"/>
        </w:rPr>
        <w:t>（本金）：严控亏损，不加杠杆，用于保本和小规模演练。</w:t>
      </w:r>
    </w:p>
    <w:p w14:paraId="55CBC793">
      <w:pPr>
        <w:numPr>
          <w:ilvl w:val="0"/>
          <w:numId w:val="1"/>
        </w:numPr>
      </w:pPr>
      <w:r>
        <w:rPr>
          <w:rFonts w:hint="eastAsia"/>
          <w:i/>
          <w:iCs/>
        </w:rPr>
        <w:t>利润账户</w:t>
      </w:r>
      <w:r>
        <w:rPr>
          <w:rFonts w:hint="eastAsia"/>
        </w:rPr>
        <w:t>（已实现收益）：将部分历史盈利转入，用于规模放大或测试更激进策略（仍然控制在总仓位范围内）。</w:t>
      </w:r>
      <w:r>
        <w:br w:type="textWrapping"/>
      </w:r>
      <w:r>
        <w:rPr>
          <w:rFonts w:hint="eastAsia"/>
        </w:rPr>
        <w:t>这样做可以避免在连续亏损时用本金补仓，自我强制分离核心资金和搏击资金。</w:t>
      </w:r>
    </w:p>
    <w:p w14:paraId="29F1C84E">
      <w:pPr>
        <w:numPr>
          <w:ilvl w:val="0"/>
          <w:numId w:val="1"/>
        </w:numPr>
      </w:pPr>
      <w:r>
        <w:rPr>
          <w:rFonts w:hint="eastAsia"/>
          <w:b/>
          <w:bCs/>
        </w:rPr>
        <w:t>分批滚动</w:t>
      </w:r>
      <w:r>
        <w:rPr>
          <w:rFonts w:hint="eastAsia"/>
        </w:rPr>
        <w:t>：当持仓盈利时，可利用累计利润分批买入新的趋势股，实现复利增长；如当前无明显机会，宁愿闲置现金也不随意乱炒。</w:t>
      </w:r>
    </w:p>
    <w:p w14:paraId="2A04052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不加杠杆</w:t>
      </w:r>
      <w:r>
        <w:rPr>
          <w:rFonts w:hint="eastAsia"/>
        </w:rPr>
        <w:t>：严禁融资融券做多，也不做任何信用交易，以可承受的自有资金做交易。</w:t>
      </w:r>
    </w:p>
    <w:bookmarkEnd w:id="8"/>
    <w:p w14:paraId="238CDF83">
      <w:pPr>
        <w:pStyle w:val="4"/>
      </w:pPr>
      <w:bookmarkStart w:id="9" w:name="交易频率与日常流程"/>
      <w:r>
        <w:rPr>
          <w:rFonts w:hint="eastAsia"/>
        </w:rPr>
        <w:t>交易频率与日常流程</w:t>
      </w:r>
    </w:p>
    <w:p w14:paraId="22713E7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交易频率</w:t>
      </w:r>
      <w:r>
        <w:rPr>
          <w:rFonts w:hint="eastAsia"/>
        </w:rPr>
        <w:t>：控制冲动，每周交易总次数不超过3次；大盘无明确机会时可以全天空仓。避免频繁“试单”、“打板”。</w:t>
      </w:r>
    </w:p>
    <w:p w14:paraId="4AE46FE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每日交易前（盘前清单）</w:t>
      </w:r>
      <w:r>
        <w:rPr>
          <w:rFonts w:hint="eastAsia"/>
        </w:rPr>
        <w:t>：</w:t>
      </w:r>
    </w:p>
    <w:p w14:paraId="073C68E2">
      <w:pPr>
        <w:pStyle w:val="24"/>
        <w:numPr>
          <w:ilvl w:val="0"/>
          <w:numId w:val="1"/>
        </w:numPr>
      </w:pPr>
      <w:r>
        <w:rPr>
          <w:rFonts w:hint="eastAsia"/>
        </w:rPr>
        <w:t>收集并梳理重要新闻、热点概念、宏观经济数据；确认无突发利空。</w:t>
      </w:r>
    </w:p>
    <w:p w14:paraId="3C917BC7">
      <w:pPr>
        <w:pStyle w:val="24"/>
        <w:numPr>
          <w:ilvl w:val="0"/>
          <w:numId w:val="1"/>
        </w:numPr>
      </w:pPr>
      <w:r>
        <w:rPr>
          <w:rFonts w:hint="eastAsia"/>
        </w:rPr>
        <w:t>使用选股系统筛选符合条件的候选股（趋势、板块、基本面）。</w:t>
      </w:r>
    </w:p>
    <w:p w14:paraId="3AB6E85B">
      <w:pPr>
        <w:pStyle w:val="24"/>
        <w:numPr>
          <w:ilvl w:val="0"/>
          <w:numId w:val="1"/>
        </w:numPr>
      </w:pPr>
      <w:r>
        <w:rPr>
          <w:rFonts w:hint="eastAsia"/>
        </w:rPr>
        <w:t>确定当天的买入计划：锁定1-2个最符合买点的目标，写下买入理由和止损价。</w:t>
      </w:r>
    </w:p>
    <w:p w14:paraId="13191F6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盘中执行</w:t>
      </w:r>
      <w:r>
        <w:rPr>
          <w:rFonts w:hint="eastAsia"/>
        </w:rPr>
        <w:t>：仅按预定计划操作，严格遵守买卖规则；不要临时改变主意；跌停或暴跌时坚决止损；涨停或快速拉升时勿恐慌追涨。</w:t>
      </w:r>
    </w:p>
    <w:p w14:paraId="465BC1A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收盘后（复盘清单）</w:t>
      </w:r>
      <w:r>
        <w:rPr>
          <w:rFonts w:hint="eastAsia"/>
        </w:rPr>
        <w:t>：</w:t>
      </w:r>
    </w:p>
    <w:p w14:paraId="2C4E2EBC">
      <w:pPr>
        <w:pStyle w:val="24"/>
        <w:numPr>
          <w:ilvl w:val="0"/>
          <w:numId w:val="1"/>
        </w:numPr>
      </w:pPr>
      <w:r>
        <w:rPr>
          <w:rFonts w:hint="eastAsia"/>
        </w:rPr>
        <w:t>记录当日交易：执行了哪些买卖、成交价格、仓位占比。</w:t>
      </w:r>
    </w:p>
    <w:p w14:paraId="462FDD8C">
      <w:pPr>
        <w:pStyle w:val="24"/>
        <w:numPr>
          <w:ilvl w:val="0"/>
          <w:numId w:val="1"/>
        </w:numPr>
      </w:pPr>
      <w:r>
        <w:rPr>
          <w:rFonts w:hint="eastAsia"/>
        </w:rPr>
        <w:t>更新交易日志：填写买入理由、卖出理由、是否触发止损、违规情况等。</w:t>
      </w:r>
    </w:p>
    <w:p w14:paraId="69E84D5C">
      <w:pPr>
        <w:pStyle w:val="24"/>
        <w:numPr>
          <w:ilvl w:val="0"/>
          <w:numId w:val="1"/>
        </w:numPr>
      </w:pPr>
      <w:r>
        <w:rPr>
          <w:rFonts w:hint="eastAsia"/>
        </w:rPr>
        <w:t>统计每日盈亏情况，计算已实现回撤。</w:t>
      </w:r>
    </w:p>
    <w:p w14:paraId="2EB9A47F">
      <w:pPr>
        <w:pStyle w:val="24"/>
        <w:numPr>
          <w:ilvl w:val="0"/>
          <w:numId w:val="1"/>
        </w:numPr>
      </w:pPr>
      <w:r>
        <w:rPr>
          <w:rFonts w:hint="eastAsia"/>
        </w:rPr>
        <w:t>复盘交易决策：回顾未入场机会和入场理由的正确性，找出情绪波动点。</w:t>
      </w:r>
    </w:p>
    <w:p w14:paraId="04E915A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每周/每月</w:t>
      </w:r>
      <w:r>
        <w:rPr>
          <w:rFonts w:hint="eastAsia"/>
        </w:rPr>
        <w:t>：整理记录统计，比如：胜率、平均盈亏比、最大回撤、违规次数等，以量化评估系统有效性。</w:t>
      </w:r>
    </w:p>
    <w:bookmarkEnd w:id="9"/>
    <w:p w14:paraId="7491915A">
      <w:pPr>
        <w:pStyle w:val="4"/>
      </w:pPr>
      <w:bookmarkStart w:id="10" w:name="复盘与数据记录模板"/>
      <w:r>
        <w:rPr>
          <w:rFonts w:hint="eastAsia"/>
        </w:rPr>
        <w:t>复盘与数据记录模板</w:t>
      </w:r>
    </w:p>
    <w:p w14:paraId="4A943182">
      <w:pPr>
        <w:pStyle w:val="23"/>
      </w:pPr>
      <w:r>
        <w:rPr>
          <w:rFonts w:hint="eastAsia"/>
        </w:rPr>
        <w:t>建立</w:t>
      </w:r>
      <w:r>
        <w:rPr>
          <w:rFonts w:hint="eastAsia"/>
          <w:b/>
          <w:bCs/>
        </w:rPr>
        <w:t>交易日志和复盘表格</w:t>
      </w:r>
      <w:r>
        <w:rPr>
          <w:rFonts w:hint="eastAsia"/>
        </w:rPr>
        <w:t>，确保每笔交易都有据可查。以下是</w:t>
      </w:r>
      <w:r>
        <w:rPr>
          <w:rFonts w:hint="eastAsia"/>
          <w:b/>
          <w:bCs/>
        </w:rPr>
        <w:t>可复制到Notion/Excel的表格模板</w:t>
      </w:r>
      <w:r>
        <w:rPr>
          <w:rFonts w:hint="eastAsia"/>
        </w:rPr>
        <w:t>示例：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268"/>
        <w:gridCol w:w="817"/>
        <w:gridCol w:w="835"/>
        <w:gridCol w:w="835"/>
        <w:gridCol w:w="835"/>
        <w:gridCol w:w="628"/>
        <w:gridCol w:w="992"/>
        <w:gridCol w:w="685"/>
        <w:gridCol w:w="685"/>
      </w:tblGrid>
      <w:tr w14:paraId="22B5D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380B45">
            <w:pPr>
              <w:pStyle w:val="24"/>
            </w:pPr>
            <w:r>
              <w:rPr>
                <w:rFonts w:hint="eastAsia"/>
              </w:rPr>
              <w:t>日期</w:t>
            </w:r>
          </w:p>
        </w:tc>
        <w:tc>
          <w:p w14:paraId="0B78B3FB">
            <w:pPr>
              <w:pStyle w:val="24"/>
            </w:pPr>
            <w:r>
              <w:rPr>
                <w:rFonts w:hint="eastAsia"/>
              </w:rPr>
              <w:t>股票代码</w:t>
            </w:r>
          </w:p>
        </w:tc>
        <w:tc>
          <w:p w14:paraId="112BBB3B">
            <w:pPr>
              <w:pStyle w:val="24"/>
            </w:pPr>
            <w:r>
              <w:rPr>
                <w:rFonts w:hint="eastAsia"/>
              </w:rPr>
              <w:t>买入理由</w:t>
            </w:r>
          </w:p>
        </w:tc>
        <w:tc>
          <w:p w14:paraId="31792634">
            <w:pPr>
              <w:pStyle w:val="24"/>
            </w:pPr>
            <w:r>
              <w:rPr>
                <w:rFonts w:hint="eastAsia"/>
              </w:rPr>
              <w:t>买入价</w:t>
            </w:r>
          </w:p>
        </w:tc>
        <w:tc>
          <w:p w14:paraId="25BA2DB6">
            <w:pPr>
              <w:pStyle w:val="24"/>
            </w:pPr>
            <w:r>
              <w:rPr>
                <w:rFonts w:hint="eastAsia"/>
              </w:rPr>
              <w:t>止损价</w:t>
            </w:r>
          </w:p>
        </w:tc>
        <w:tc>
          <w:p w14:paraId="04FDB2C2">
            <w:pPr>
              <w:pStyle w:val="24"/>
            </w:pPr>
            <w:r>
              <w:rPr>
                <w:rFonts w:hint="eastAsia"/>
              </w:rPr>
              <w:t>卖出价</w:t>
            </w:r>
          </w:p>
        </w:tc>
        <w:tc>
          <w:p w14:paraId="1EEC4F28">
            <w:pPr>
              <w:pStyle w:val="24"/>
            </w:pPr>
            <w:r>
              <w:rPr>
                <w:rFonts w:hint="eastAsia"/>
              </w:rPr>
              <w:t>持仓时长</w:t>
            </w:r>
          </w:p>
        </w:tc>
        <w:tc>
          <w:p w14:paraId="2DDBE7A3">
            <w:pPr>
              <w:pStyle w:val="24"/>
            </w:pPr>
            <w:r>
              <w:rPr>
                <w:rFonts w:hint="eastAsia"/>
              </w:rPr>
              <w:t>盈亏（%）</w:t>
            </w:r>
          </w:p>
        </w:tc>
        <w:tc>
          <w:p w14:paraId="39CDCA92">
            <w:pPr>
              <w:pStyle w:val="24"/>
            </w:pPr>
            <w:r>
              <w:rPr>
                <w:rFonts w:hint="eastAsia"/>
              </w:rPr>
              <w:t>是否违规则</w:t>
            </w:r>
          </w:p>
        </w:tc>
        <w:tc>
          <w:p w14:paraId="4D44AD97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25C05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7244DA">
            <w:pPr>
              <w:pStyle w:val="24"/>
            </w:pPr>
            <w:r>
              <w:t>2026-06-10</w:t>
            </w:r>
          </w:p>
        </w:tc>
        <w:tc>
          <w:p w14:paraId="5F42EF3E">
            <w:pPr>
              <w:pStyle w:val="24"/>
            </w:pPr>
            <w:r>
              <w:t>000001</w:t>
            </w:r>
          </w:p>
        </w:tc>
        <w:tc>
          <w:p w14:paraId="42C60FFB">
            <w:pPr>
              <w:pStyle w:val="24"/>
            </w:pPr>
            <w:r>
              <w:rPr>
                <w:rFonts w:hint="eastAsia"/>
              </w:rPr>
              <w:t>放量突破整理区</w:t>
            </w:r>
          </w:p>
        </w:tc>
        <w:tc>
          <w:p w14:paraId="11FC5A39">
            <w:pPr>
              <w:pStyle w:val="24"/>
            </w:pPr>
            <w:r>
              <w:t>10.5</w:t>
            </w:r>
          </w:p>
        </w:tc>
        <w:tc>
          <w:p w14:paraId="56BDB4D4">
            <w:pPr>
              <w:pStyle w:val="24"/>
            </w:pPr>
            <w:r>
              <w:t>9.45</w:t>
            </w:r>
          </w:p>
        </w:tc>
        <w:tc>
          <w:p w14:paraId="382C84B9">
            <w:pPr>
              <w:pStyle w:val="24"/>
            </w:pPr>
            <w:r>
              <w:t>12.6</w:t>
            </w:r>
          </w:p>
        </w:tc>
        <w:tc>
          <w:p w14:paraId="3CD0DAF0">
            <w:pPr>
              <w:pStyle w:val="24"/>
            </w:pPr>
            <w:r>
              <w:rPr>
                <w:rFonts w:hint="eastAsia"/>
              </w:rPr>
              <w:t>5天</w:t>
            </w:r>
          </w:p>
        </w:tc>
        <w:tc>
          <w:p w14:paraId="4601A665">
            <w:pPr>
              <w:pStyle w:val="24"/>
            </w:pPr>
            <w:r>
              <w:t>+20%</w:t>
            </w:r>
          </w:p>
        </w:tc>
        <w:tc>
          <w:p w14:paraId="578AD0D9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27E839F9">
            <w:pPr>
              <w:pStyle w:val="24"/>
            </w:pPr>
            <w:r>
              <w:rPr>
                <w:rFonts w:hint="eastAsia"/>
              </w:rPr>
              <w:t>已止盈一半</w:t>
            </w:r>
          </w:p>
        </w:tc>
      </w:tr>
      <w:tr w14:paraId="0274D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037FE">
            <w:pPr>
              <w:pStyle w:val="24"/>
            </w:pPr>
            <w:r>
              <w:t>2026-06-12</w:t>
            </w:r>
          </w:p>
        </w:tc>
        <w:tc>
          <w:p w14:paraId="6964D2F5">
            <w:pPr>
              <w:pStyle w:val="24"/>
            </w:pPr>
            <w:r>
              <w:t>000002</w:t>
            </w:r>
          </w:p>
        </w:tc>
        <w:tc>
          <w:p w14:paraId="3A82C613">
            <w:pPr>
              <w:pStyle w:val="24"/>
            </w:pPr>
            <w:r>
              <w:rPr>
                <w:rFonts w:hint="eastAsia"/>
              </w:rPr>
              <w:t>回踩5日线企稳</w:t>
            </w:r>
          </w:p>
        </w:tc>
        <w:tc>
          <w:p w14:paraId="6932D594">
            <w:pPr>
              <w:pStyle w:val="24"/>
            </w:pPr>
            <w:r>
              <w:t>8.2</w:t>
            </w:r>
          </w:p>
        </w:tc>
        <w:tc>
          <w:p w14:paraId="47F985CB">
            <w:pPr>
              <w:pStyle w:val="24"/>
            </w:pPr>
            <w:r>
              <w:t>7.38</w:t>
            </w:r>
          </w:p>
        </w:tc>
        <w:tc>
          <w:p w14:paraId="1A365377">
            <w:pPr>
              <w:pStyle w:val="24"/>
            </w:pPr>
            <w:r>
              <w:t>7.0</w:t>
            </w:r>
          </w:p>
        </w:tc>
        <w:tc>
          <w:p w14:paraId="30139B49">
            <w:pPr>
              <w:pStyle w:val="24"/>
            </w:pPr>
            <w:r>
              <w:rPr>
                <w:rFonts w:hint="eastAsia"/>
              </w:rPr>
              <w:t>3天</w:t>
            </w:r>
          </w:p>
        </w:tc>
        <w:tc>
          <w:p w14:paraId="67E1013D">
            <w:pPr>
              <w:pStyle w:val="24"/>
            </w:pPr>
            <w:r>
              <w:t>-15%</w:t>
            </w:r>
          </w:p>
        </w:tc>
        <w:tc>
          <w:p w14:paraId="194A26C7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09DCFA73">
            <w:pPr>
              <w:pStyle w:val="24"/>
            </w:pPr>
            <w:r>
              <w:rPr>
                <w:rFonts w:hint="eastAsia"/>
              </w:rPr>
              <w:t>止损出局</w:t>
            </w:r>
          </w:p>
        </w:tc>
      </w:tr>
      <w:tr w14:paraId="1ED8B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F8AFB">
            <w:pPr>
              <w:pStyle w:val="24"/>
            </w:pPr>
            <w:r>
              <w:t>…</w:t>
            </w:r>
          </w:p>
        </w:tc>
        <w:tc>
          <w:p w14:paraId="1E6971B6">
            <w:pPr>
              <w:pStyle w:val="24"/>
            </w:pPr>
            <w:r>
              <w:t>…</w:t>
            </w:r>
          </w:p>
        </w:tc>
        <w:tc>
          <w:p w14:paraId="51B3D454">
            <w:pPr>
              <w:pStyle w:val="24"/>
            </w:pPr>
            <w:r>
              <w:t>…</w:t>
            </w:r>
          </w:p>
        </w:tc>
        <w:tc>
          <w:p w14:paraId="7410FEEC">
            <w:pPr>
              <w:pStyle w:val="24"/>
            </w:pPr>
            <w:r>
              <w:t>…</w:t>
            </w:r>
          </w:p>
        </w:tc>
        <w:tc>
          <w:p w14:paraId="738F64EB">
            <w:pPr>
              <w:pStyle w:val="24"/>
            </w:pPr>
            <w:r>
              <w:t>…</w:t>
            </w:r>
          </w:p>
        </w:tc>
        <w:tc>
          <w:p w14:paraId="1E5D0041">
            <w:pPr>
              <w:pStyle w:val="24"/>
            </w:pPr>
            <w:r>
              <w:t>…</w:t>
            </w:r>
          </w:p>
        </w:tc>
        <w:tc>
          <w:p w14:paraId="000256CF">
            <w:pPr>
              <w:pStyle w:val="24"/>
            </w:pPr>
            <w:r>
              <w:t>…</w:t>
            </w:r>
          </w:p>
        </w:tc>
        <w:tc>
          <w:p w14:paraId="516209C9">
            <w:pPr>
              <w:pStyle w:val="24"/>
            </w:pPr>
            <w:r>
              <w:t>…</w:t>
            </w:r>
          </w:p>
        </w:tc>
        <w:tc>
          <w:p w14:paraId="7ECECC19">
            <w:pPr>
              <w:pStyle w:val="24"/>
            </w:pPr>
            <w:r>
              <w:t>…</w:t>
            </w:r>
          </w:p>
        </w:tc>
        <w:tc>
          <w:p w14:paraId="27D3F91C">
            <w:pPr>
              <w:pStyle w:val="24"/>
            </w:pPr>
            <w:r>
              <w:t>…</w:t>
            </w:r>
          </w:p>
        </w:tc>
      </w:tr>
    </w:tbl>
    <w:p w14:paraId="2743A3A0">
      <w:pPr>
        <w:pStyle w:val="3"/>
      </w:pPr>
      <w:r>
        <w:rPr>
          <w:rFonts w:hint="eastAsia"/>
          <w:b/>
          <w:bCs/>
        </w:rPr>
        <w:t>统计指标例子</w:t>
      </w:r>
      <w:r>
        <w:rPr>
          <w:rFonts w:hint="eastAsia"/>
        </w:rPr>
        <w:t>：可在Excel中设“SUMIF”等函数统计胜率、最大回撤、平均盈亏、违规次数/交易次数等。重点关注“违规率”＝违规交易次数÷总交易次数，目标＜10%。</w:t>
      </w:r>
    </w:p>
    <w:bookmarkEnd w:id="10"/>
    <w:p w14:paraId="7B8EA8BD">
      <w:pPr>
        <w:pStyle w:val="4"/>
      </w:pPr>
      <w:bookmarkStart w:id="11" w:name="训练计划以5000元3万元实盘资金为例"/>
      <w:r>
        <w:rPr>
          <w:rFonts w:hint="eastAsia"/>
        </w:rPr>
        <w:t>训练计划（以5000元/3万元实盘资金为例）</w:t>
      </w:r>
    </w:p>
    <w:p w14:paraId="6926F057">
      <w:pPr>
        <w:pStyle w:val="23"/>
      </w:pPr>
      <w:r>
        <w:rPr>
          <w:rFonts w:hint="eastAsia"/>
          <w:b/>
          <w:bCs/>
        </w:rPr>
        <w:t>核心理念</w:t>
      </w:r>
      <w:r>
        <w:rPr>
          <w:rFonts w:hint="eastAsia"/>
        </w:rPr>
        <w:t>：用小资金</w:t>
      </w:r>
      <w:r>
        <w:rPr>
          <w:rFonts w:hint="eastAsia"/>
          <w:b/>
          <w:bCs/>
        </w:rPr>
        <w:t>训练纪律和执行力</w:t>
      </w:r>
      <w:r>
        <w:rPr>
          <w:rFonts w:hint="eastAsia"/>
        </w:rPr>
        <w:t>，而非盲目求快。建议分阶段进行：</w:t>
      </w:r>
    </w:p>
    <w:p w14:paraId="1B0CB4C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第1阶段（第1-2周）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>模拟和观念重塑</w:t>
      </w:r>
      <w:r>
        <w:rPr>
          <w:rFonts w:hint="eastAsia"/>
        </w:rPr>
        <w:t>：</w:t>
      </w:r>
    </w:p>
    <w:p w14:paraId="2907D0CA">
      <w:pPr>
        <w:pStyle w:val="24"/>
        <w:numPr>
          <w:ilvl w:val="0"/>
          <w:numId w:val="1"/>
        </w:numPr>
      </w:pPr>
      <w:r>
        <w:rPr>
          <w:rFonts w:hint="eastAsia"/>
        </w:rPr>
        <w:t>用小额（≤1000元）资金或完全模拟盘（0手续费）开始交易，不追求盈利，只练习“</w:t>
      </w:r>
      <w:r>
        <w:rPr>
          <w:rFonts w:hint="eastAsia"/>
          <w:b/>
          <w:bCs/>
        </w:rPr>
        <w:t>只做右侧</w:t>
      </w:r>
      <w:r>
        <w:t xml:space="preserve"> + </w:t>
      </w:r>
      <w:r>
        <w:rPr>
          <w:rFonts w:hint="eastAsia"/>
          <w:b/>
          <w:bCs/>
        </w:rPr>
        <w:t>必止损</w:t>
      </w:r>
      <w:r>
        <w:t>”。</w:t>
      </w:r>
    </w:p>
    <w:p w14:paraId="2D087894">
      <w:pPr>
        <w:pStyle w:val="24"/>
        <w:numPr>
          <w:ilvl w:val="0"/>
          <w:numId w:val="1"/>
        </w:numPr>
      </w:pPr>
      <w:r>
        <w:rPr>
          <w:rFonts w:hint="eastAsia"/>
        </w:rPr>
        <w:t>每笔交易前后严格写交易日志，检查是否每次都符合系统规则。</w:t>
      </w:r>
    </w:p>
    <w:p w14:paraId="6778A93B">
      <w:pPr>
        <w:numPr>
          <w:ilvl w:val="0"/>
          <w:numId w:val="1"/>
        </w:numPr>
      </w:pPr>
      <w:r>
        <w:rPr>
          <w:rFonts w:hint="eastAsia"/>
          <w:i/>
          <w:iCs/>
        </w:rPr>
        <w:t>目标</w:t>
      </w:r>
      <w:r>
        <w:rPr>
          <w:rFonts w:hint="eastAsia"/>
        </w:rPr>
        <w:t>：30天内不发生爆仓或大亏，违规次数逐步减少（应小于总交易次数的20%）。</w:t>
      </w:r>
    </w:p>
    <w:p w14:paraId="25795753">
      <w:pPr>
        <w:numPr>
          <w:ilvl w:val="0"/>
          <w:numId w:val="1"/>
        </w:numPr>
      </w:pPr>
      <w:r>
        <w:rPr>
          <w:rFonts w:hint="eastAsia"/>
          <w:b/>
          <w:bCs/>
        </w:rPr>
        <w:t>第2阶段（第3-6周）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>小仓验证系统胜率</w:t>
      </w:r>
      <w:r>
        <w:rPr>
          <w:rFonts w:hint="eastAsia"/>
        </w:rPr>
        <w:t>：</w:t>
      </w:r>
    </w:p>
    <w:p w14:paraId="32AA6E7F">
      <w:pPr>
        <w:pStyle w:val="24"/>
        <w:numPr>
          <w:ilvl w:val="0"/>
          <w:numId w:val="1"/>
        </w:numPr>
      </w:pPr>
      <w:r>
        <w:rPr>
          <w:rFonts w:hint="eastAsia"/>
        </w:rPr>
        <w:t>正式使用5000元/3万资金的20%-30%做实盘交易，仓位控制在10%以内。</w:t>
      </w:r>
    </w:p>
    <w:p w14:paraId="4D267A60">
      <w:pPr>
        <w:pStyle w:val="24"/>
        <w:numPr>
          <w:ilvl w:val="0"/>
          <w:numId w:val="1"/>
        </w:numPr>
      </w:pPr>
      <w:r>
        <w:rPr>
          <w:rFonts w:hint="eastAsia"/>
        </w:rPr>
        <w:t>系统地验证买卖逻辑，记录每种信号（突破/回踩）的胜率和盈亏比例。</w:t>
      </w:r>
    </w:p>
    <w:p w14:paraId="295BF01E">
      <w:pPr>
        <w:numPr>
          <w:ilvl w:val="0"/>
          <w:numId w:val="1"/>
        </w:numPr>
      </w:pPr>
      <w:r>
        <w:rPr>
          <w:rFonts w:hint="eastAsia"/>
          <w:i/>
          <w:iCs/>
        </w:rPr>
        <w:t>目标</w:t>
      </w:r>
      <w:r>
        <w:rPr>
          <w:rFonts w:hint="eastAsia"/>
        </w:rPr>
        <w:t>：筛选出胜率较高（&gt;50%）、盈亏比合理（≥1:1）的买点类型，剔除表现不佳的模式。</w:t>
      </w:r>
    </w:p>
    <w:p w14:paraId="2BD2CE64">
      <w:pPr>
        <w:numPr>
          <w:ilvl w:val="0"/>
          <w:numId w:val="1"/>
        </w:numPr>
      </w:pPr>
      <w:r>
        <w:rPr>
          <w:rFonts w:hint="eastAsia"/>
          <w:b/>
          <w:bCs/>
        </w:rPr>
        <w:t>第3阶段（第2-3个月）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>优化与扩展</w:t>
      </w:r>
      <w:r>
        <w:rPr>
          <w:rFonts w:hint="eastAsia"/>
        </w:rPr>
        <w:t>：</w:t>
      </w:r>
    </w:p>
    <w:p w14:paraId="29A15F9E">
      <w:pPr>
        <w:pStyle w:val="24"/>
        <w:numPr>
          <w:ilvl w:val="0"/>
          <w:numId w:val="1"/>
        </w:numPr>
      </w:pPr>
      <w:r>
        <w:rPr>
          <w:rFonts w:hint="eastAsia"/>
        </w:rPr>
        <w:t>根据阶段2结果，优化交易规则（如调整止损、改进筛股条件）。</w:t>
      </w:r>
    </w:p>
    <w:p w14:paraId="05645729">
      <w:pPr>
        <w:pStyle w:val="24"/>
        <w:numPr>
          <w:ilvl w:val="0"/>
          <w:numId w:val="1"/>
        </w:numPr>
      </w:pPr>
      <w:r>
        <w:rPr>
          <w:rFonts w:hint="eastAsia"/>
        </w:rPr>
        <w:t>可以适度提高仓位上限到20%，继续累积经验，重点避免首次两次亏损出现恐惧。</w:t>
      </w:r>
    </w:p>
    <w:p w14:paraId="389819BA">
      <w:pPr>
        <w:numPr>
          <w:ilvl w:val="0"/>
          <w:numId w:val="1"/>
        </w:numPr>
      </w:pPr>
      <w:r>
        <w:rPr>
          <w:rFonts w:hint="eastAsia"/>
          <w:i/>
          <w:iCs/>
        </w:rPr>
        <w:t>目标</w:t>
      </w:r>
      <w:r>
        <w:rPr>
          <w:rFonts w:hint="eastAsia"/>
        </w:rPr>
        <w:t>：连续几周盈利或小亏而非大亏，违规率＜10%，回撤控制在预定范围内。</w:t>
      </w:r>
    </w:p>
    <w:p w14:paraId="440F930A">
      <w:pPr>
        <w:numPr>
          <w:ilvl w:val="0"/>
          <w:numId w:val="1"/>
        </w:numPr>
      </w:pPr>
      <w:r>
        <w:rPr>
          <w:rFonts w:hint="eastAsia"/>
          <w:b/>
          <w:bCs/>
        </w:rPr>
        <w:t>第4阶段（3-6个月）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>初步复利放大</w:t>
      </w:r>
      <w:r>
        <w:rPr>
          <w:rFonts w:hint="eastAsia"/>
        </w:rPr>
        <w:t>：</w:t>
      </w:r>
    </w:p>
    <w:p w14:paraId="32595083">
      <w:pPr>
        <w:pStyle w:val="24"/>
        <w:numPr>
          <w:ilvl w:val="0"/>
          <w:numId w:val="1"/>
        </w:numPr>
      </w:pPr>
      <w:r>
        <w:rPr>
          <w:rFonts w:hint="eastAsia"/>
        </w:rPr>
        <w:t>如果系统显著盈利，逐步将剩余现金（5000元中的未动资金或3万中的备用资金）用于同样规则的新交易。</w:t>
      </w:r>
    </w:p>
    <w:p w14:paraId="31E4DBB3">
      <w:pPr>
        <w:pStyle w:val="24"/>
        <w:numPr>
          <w:ilvl w:val="0"/>
          <w:numId w:val="1"/>
        </w:numPr>
      </w:pPr>
      <w:r>
        <w:rPr>
          <w:rFonts w:hint="eastAsia"/>
        </w:rPr>
        <w:t>保持同样的止损比例和复盘习惯，绝不因资金变大而放松纪律。</w:t>
      </w:r>
    </w:p>
    <w:p w14:paraId="03C01CC3">
      <w:pPr>
        <w:pStyle w:val="24"/>
        <w:numPr>
          <w:ilvl w:val="0"/>
          <w:numId w:val="1"/>
        </w:numPr>
      </w:pPr>
      <w:r>
        <w:rPr>
          <w:rFonts w:hint="eastAsia"/>
          <w:i/>
          <w:iCs/>
        </w:rPr>
        <w:t>目标</w:t>
      </w:r>
      <w:r>
        <w:rPr>
          <w:rFonts w:hint="eastAsia"/>
        </w:rPr>
        <w:t>：账户开始出现稳健复利曲线（累计盈亏＞0），为后续加大资金奠定基础。</w:t>
      </w:r>
    </w:p>
    <w:p w14:paraId="16E25B43">
      <w:pPr>
        <w:pStyle w:val="23"/>
      </w:pPr>
      <w:r>
        <w:rPr>
          <w:rFonts w:hint="eastAsia"/>
        </w:rPr>
        <w:t>完成以上阶段后，即可考虑将良性策略应用到更大本金。</w:t>
      </w:r>
      <w:r>
        <w:rPr>
          <w:rFonts w:hint="eastAsia"/>
          <w:b/>
          <w:bCs/>
        </w:rPr>
        <w:t>重要</w:t>
      </w:r>
      <w:r>
        <w:rPr>
          <w:rFonts w:hint="eastAsia"/>
        </w:rPr>
        <w:t>：整个过程中最关键的不是赚钱多少，而是不再“违规交易”！这一步是将你从亏损驱动模式切换到</w:t>
      </w:r>
      <w:r>
        <w:rPr>
          <w:rFonts w:hint="eastAsia"/>
          <w:b/>
          <w:bCs/>
        </w:rPr>
        <w:t>规则驱动模式</w:t>
      </w:r>
      <w:r>
        <w:rPr>
          <w:rFonts w:hint="eastAsia"/>
        </w:rPr>
        <w:t>的分水岭。</w:t>
      </w:r>
    </w:p>
    <w:bookmarkEnd w:id="11"/>
    <w:p w14:paraId="6DF477A9">
      <w:pPr>
        <w:pStyle w:val="4"/>
      </w:pPr>
      <w:bookmarkStart w:id="12" w:name="绩效评估与调整机制"/>
      <w:r>
        <w:rPr>
          <w:rFonts w:hint="eastAsia"/>
        </w:rPr>
        <w:t>绩效评估与调整机制</w:t>
      </w:r>
    </w:p>
    <w:p w14:paraId="67395E7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关键指标</w:t>
      </w:r>
      <w:r>
        <w:rPr>
          <w:rFonts w:hint="eastAsia"/>
        </w:rPr>
        <w:t>：定期评估净值曲线、胜率、平均盈亏比、最大回撤、单月收益波动等。若连续3个月年化收益&lt;0，需强制停盘复盘或调整策略。</w:t>
      </w:r>
    </w:p>
    <w:p w14:paraId="65DEA5B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资金放大时机</w:t>
      </w:r>
      <w:r>
        <w:rPr>
          <w:rFonts w:hint="eastAsia"/>
        </w:rPr>
        <w:t>：满足连续6-12个月收益稳定且回撤控制后，可考虑逐步提高仓位上限或将全部资金投入系统交易。放大前务必再次确认交易规则严格执行。</w:t>
      </w:r>
    </w:p>
    <w:p w14:paraId="35C720C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策略淘汰</w:t>
      </w:r>
      <w:r>
        <w:rPr>
          <w:rFonts w:hint="eastAsia"/>
        </w:rPr>
        <w:t>：如果发现某类信号胜率低或回撤大，就立即剔除该信号，不再使用。保持策略单一化（只留</w:t>
      </w:r>
      <w:r>
        <w:rPr>
          <w:rFonts w:hint="eastAsia"/>
          <w:b/>
          <w:bCs/>
        </w:rPr>
        <w:t>最高胜率模型</w:t>
      </w:r>
      <w:r>
        <w:rPr>
          <w:rFonts w:hint="eastAsia"/>
        </w:rPr>
        <w:t>）有助于减少决策混乱。</w:t>
      </w:r>
    </w:p>
    <w:p w14:paraId="4C546C3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违规处罚</w:t>
      </w:r>
      <w:r>
        <w:rPr>
          <w:rFonts w:hint="eastAsia"/>
        </w:rPr>
        <w:t>：每月统计交易违规次数（如违反仓位/止损规则）。如果某月违规率&gt;20%，该月收益即算作无效（重新定位为“训练”），下月须重新低频交易，直到违规降到10%以下。</w:t>
      </w:r>
    </w:p>
    <w:bookmarkEnd w:id="12"/>
    <w:p w14:paraId="54668712">
      <w:pPr>
        <w:pStyle w:val="4"/>
      </w:pPr>
      <w:bookmarkStart w:id="13" w:name="心理与行为改造措施"/>
      <w:r>
        <w:rPr>
          <w:rFonts w:hint="eastAsia"/>
        </w:rPr>
        <w:t>心理与行为改造措施</w:t>
      </w:r>
    </w:p>
    <w:p w14:paraId="3764810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强制锁仓和冷静期</w:t>
      </w:r>
      <w:r>
        <w:rPr>
          <w:rFonts w:hint="eastAsia"/>
        </w:rPr>
        <w:t>：设定“止损即休市”制度：每次止损发生后暂停交易直到当日收盘；单日累计亏损（含平仓）超过5%时，全日不再开新仓。</w:t>
      </w:r>
    </w:p>
    <w:p w14:paraId="4CCB6E4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惩罚/奖励机制</w:t>
      </w:r>
      <w:r>
        <w:rPr>
          <w:rFonts w:hint="eastAsia"/>
        </w:rPr>
        <w:t>：对于遵守规则的交易（如连续多笔都严格止损而无违规），给予自我奖励（如减少交易费支出；享受工作后的休息）；对于违规行为，则要接受“罚单”——如当天不能交易、写深刻反省等。</w:t>
      </w:r>
    </w:p>
    <w:p w14:paraId="10FC7D2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避免信息干扰</w:t>
      </w:r>
      <w:r>
        <w:rPr>
          <w:rFonts w:hint="eastAsia"/>
        </w:rPr>
        <w:t>：交易时严禁看无关分析或听信群消息。只关注开盘前已收集的重要财经事件。可使用「今日盘前\盘后清单」来约束自己。</w:t>
      </w:r>
    </w:p>
    <w:p w14:paraId="6E1F8A3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行为认知训练</w:t>
      </w:r>
      <w:r>
        <w:rPr>
          <w:rFonts w:hint="eastAsia"/>
        </w:rPr>
        <w:t>：每天花5分钟复盘交易心态，将任何贪婪或恐惧的冲动记录下来，帮助自己认识和克服人性弱点。正视亏损经验：明白亏损来自</w:t>
      </w:r>
      <w:r>
        <w:rPr>
          <w:rFonts w:hint="eastAsia"/>
          <w:b/>
          <w:bCs/>
        </w:rPr>
        <w:t>过度自信和缺乏纪律</w:t>
      </w:r>
      <w:bookmarkStart w:id="18" w:name="_GoBack"/>
      <w:bookmarkEnd w:id="18"/>
      <w:r>
        <w:t>。</w:t>
      </w:r>
    </w:p>
    <w:p w14:paraId="42DE875F">
      <w:pPr>
        <w:pStyle w:val="13"/>
      </w:pPr>
      <w:r>
        <w:rPr>
          <w:rFonts w:hint="eastAsia"/>
          <w:b/>
          <w:bCs/>
        </w:rPr>
        <w:t>“规则系统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>预测能力”</w:t>
      </w:r>
      <w:r>
        <w:rPr>
          <w:rFonts w:hint="eastAsia"/>
        </w:rPr>
        <w:t>：A股市场变化多端，散户若没有一套纪律明确的规则体系，再好的选股思路也难以执行。重塑思维：停止盲目思考“市场底部/天花板在哪”，只关注</w:t>
      </w:r>
      <w:r>
        <w:rPr>
          <w:rFonts w:hint="eastAsia"/>
          <w:b/>
          <w:bCs/>
        </w:rPr>
        <w:t>当前的趋势信号</w:t>
      </w:r>
      <w:r>
        <w:rPr>
          <w:rFonts w:hint="eastAsia"/>
        </w:rPr>
        <w:t>和风险管理。</w:t>
      </w:r>
    </w:p>
    <w:bookmarkEnd w:id="13"/>
    <w:p w14:paraId="0417B4FF">
      <w:pPr>
        <w:pStyle w:val="4"/>
      </w:pPr>
      <w:bookmarkStart w:id="14" w:name="可实现的量化预期情景模拟"/>
      <w:r>
        <w:rPr>
          <w:rFonts w:hint="eastAsia"/>
        </w:rPr>
        <w:t>可实现的量化预期（情景模拟）</w:t>
      </w:r>
    </w:p>
    <w:p w14:paraId="4A31BB20">
      <w:pPr>
        <w:pStyle w:val="23"/>
      </w:pPr>
      <w:r>
        <w:rPr>
          <w:rFonts w:hint="eastAsia"/>
        </w:rPr>
        <w:t>以下表格比较了</w:t>
      </w:r>
      <w:r>
        <w:rPr>
          <w:rFonts w:hint="eastAsia"/>
          <w:b/>
          <w:bCs/>
        </w:rPr>
        <w:t>保守/中性/激进</w:t>
      </w:r>
      <w:r>
        <w:rPr>
          <w:rFonts w:hint="eastAsia"/>
        </w:rPr>
        <w:t>三种复利路径的目标：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1579"/>
        <w:gridCol w:w="1594"/>
        <w:gridCol w:w="1781"/>
        <w:gridCol w:w="3229"/>
      </w:tblGrid>
      <w:tr w14:paraId="049DE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E6C000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62F9DE7E">
            <w:pPr>
              <w:pStyle w:val="24"/>
            </w:pPr>
            <w:r>
              <w:rPr>
                <w:rFonts w:hint="eastAsia"/>
              </w:rPr>
              <w:t>年化收益预期</w:t>
            </w:r>
          </w:p>
        </w:tc>
        <w:tc>
          <w:p w14:paraId="736F7E88">
            <w:pPr>
              <w:pStyle w:val="24"/>
            </w:pPr>
            <w:r>
              <w:rPr>
                <w:rFonts w:hint="eastAsia"/>
              </w:rPr>
              <w:t>5年后倍数约</w:t>
            </w:r>
          </w:p>
        </w:tc>
        <w:tc>
          <w:p w14:paraId="78A78994">
            <w:pPr>
              <w:pStyle w:val="24"/>
            </w:pPr>
            <w:r>
              <w:rPr>
                <w:rFonts w:hint="eastAsia"/>
              </w:rPr>
              <w:t>10年后倍数约</w:t>
            </w:r>
          </w:p>
        </w:tc>
        <w:tc>
          <w:p w14:paraId="073AAC74">
            <w:pPr>
              <w:pStyle w:val="24"/>
            </w:pPr>
            <w:r>
              <w:rPr>
                <w:rFonts w:hint="eastAsia"/>
              </w:rPr>
              <w:t>达到100万所需年数（参考）</w:t>
            </w:r>
          </w:p>
        </w:tc>
      </w:tr>
      <w:tr w14:paraId="5FAA3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CC3E9">
            <w:pPr>
              <w:pStyle w:val="24"/>
            </w:pPr>
            <w:r>
              <w:rPr>
                <w:rFonts w:hint="eastAsia"/>
                <w:b/>
                <w:bCs/>
              </w:rPr>
              <w:t>保守</w:t>
            </w:r>
          </w:p>
        </w:tc>
        <w:tc>
          <w:p w14:paraId="157B3D0A">
            <w:pPr>
              <w:pStyle w:val="24"/>
            </w:pPr>
            <w:r>
              <w:t>30%</w:t>
            </w:r>
          </w:p>
        </w:tc>
        <w:tc>
          <w:p w14:paraId="63E426BB">
            <w:pPr>
              <w:pStyle w:val="24"/>
            </w:pPr>
            <w:r>
              <w:t>~3.7×</w:t>
            </w:r>
          </w:p>
        </w:tc>
        <w:tc>
          <w:p w14:paraId="36102C89">
            <w:pPr>
              <w:pStyle w:val="24"/>
            </w:pPr>
            <w:r>
              <w:t>~13.8×</w:t>
            </w:r>
          </w:p>
        </w:tc>
        <w:tc>
          <w:p w14:paraId="7FF2674B">
            <w:pPr>
              <w:pStyle w:val="24"/>
            </w:pPr>
            <w:r>
              <w:rPr>
                <w:rFonts w:hint="eastAsia"/>
              </w:rPr>
              <w:t>≈13年以上（难达标）</w:t>
            </w:r>
          </w:p>
        </w:tc>
      </w:tr>
      <w:tr w14:paraId="5C7BB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98EE2">
            <w:pPr>
              <w:pStyle w:val="24"/>
            </w:pPr>
            <w:r>
              <w:rPr>
                <w:rFonts w:hint="eastAsia"/>
                <w:b/>
                <w:bCs/>
              </w:rPr>
              <w:t>中性</w:t>
            </w:r>
          </w:p>
        </w:tc>
        <w:tc>
          <w:p w14:paraId="6A1C443F">
            <w:pPr>
              <w:pStyle w:val="24"/>
            </w:pPr>
            <w:r>
              <w:t>50%</w:t>
            </w:r>
          </w:p>
        </w:tc>
        <w:tc>
          <w:p w14:paraId="00D7195D">
            <w:pPr>
              <w:pStyle w:val="24"/>
            </w:pPr>
            <w:r>
              <w:t>~7.6×</w:t>
            </w:r>
          </w:p>
        </w:tc>
        <w:tc>
          <w:p w14:paraId="52CE9FC1">
            <w:pPr>
              <w:pStyle w:val="24"/>
            </w:pPr>
            <w:r>
              <w:t>~57.7×</w:t>
            </w:r>
          </w:p>
        </w:tc>
        <w:tc>
          <w:p w14:paraId="583ABB81">
            <w:pPr>
              <w:pStyle w:val="24"/>
            </w:pPr>
            <w:r>
              <w:rPr>
                <w:rFonts w:hint="eastAsia"/>
              </w:rPr>
              <w:t>≈9年</w:t>
            </w:r>
          </w:p>
        </w:tc>
      </w:tr>
      <w:tr w14:paraId="394D8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00369C">
            <w:pPr>
              <w:pStyle w:val="24"/>
            </w:pPr>
            <w:r>
              <w:rPr>
                <w:rFonts w:hint="eastAsia"/>
                <w:b/>
                <w:bCs/>
              </w:rPr>
              <w:t>激进</w:t>
            </w:r>
          </w:p>
        </w:tc>
        <w:tc>
          <w:p w14:paraId="3D642695">
            <w:pPr>
              <w:pStyle w:val="24"/>
            </w:pPr>
            <w:r>
              <w:t>100%</w:t>
            </w:r>
          </w:p>
        </w:tc>
        <w:tc>
          <w:p w14:paraId="1CBFCCCB">
            <w:pPr>
              <w:pStyle w:val="24"/>
            </w:pPr>
            <w:r>
              <w:t>~32×</w:t>
            </w:r>
          </w:p>
        </w:tc>
        <w:tc>
          <w:p w14:paraId="1F40568F">
            <w:pPr>
              <w:pStyle w:val="24"/>
            </w:pPr>
            <w:r>
              <w:t>~1024×</w:t>
            </w:r>
          </w:p>
        </w:tc>
        <w:tc>
          <w:p w14:paraId="52BDF4C0">
            <w:pPr>
              <w:pStyle w:val="24"/>
            </w:pPr>
            <w:r>
              <w:rPr>
                <w:rFonts w:hint="eastAsia"/>
              </w:rPr>
              <w:t>≈5年</w:t>
            </w:r>
          </w:p>
        </w:tc>
      </w:tr>
    </w:tbl>
    <w:p w14:paraId="68184AAE">
      <w:pPr>
        <w:pStyle w:val="3"/>
      </w:pPr>
      <w:r>
        <w:rPr>
          <w:rFonts w:hint="eastAsia"/>
          <w:i/>
          <w:iCs/>
        </w:rPr>
        <w:t>说明：倍数计算基于(1+年化收益)^年数。保守路径虽然安全性高，但3万元到100万可能需10年以上；中性路径约9年左右；激进路径通过每年翻倍在5年左右可达成目标（均未考虑税费）。实际操作中可根据风险承受能力在这三者之间灵活调整。</w:t>
      </w:r>
    </w:p>
    <w:bookmarkEnd w:id="14"/>
    <w:p w14:paraId="5D768E78">
      <w:pPr>
        <w:pStyle w:val="4"/>
      </w:pPr>
      <w:bookmarkStart w:id="15" w:name="实施所需工具与成本清单"/>
      <w:r>
        <w:rPr>
          <w:rFonts w:hint="eastAsia"/>
        </w:rPr>
        <w:t>实施所需工具与成本清单</w:t>
      </w:r>
    </w:p>
    <w:p w14:paraId="225358B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行情与数据</w:t>
      </w:r>
      <w:r>
        <w:rPr>
          <w:rFonts w:hint="eastAsia"/>
        </w:rPr>
        <w:t>：免费数据源如TuShare、AkShare即可获得A股日K线、财务指标；也可使用券商提供的Level-2行情和研报。</w:t>
      </w:r>
    </w:p>
    <w:p w14:paraId="243A814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选股/画图软件</w:t>
      </w:r>
      <w:r>
        <w:rPr>
          <w:rFonts w:hint="eastAsia"/>
        </w:rPr>
        <w:t>：同花顺、大智慧、通达信、东方财富等；也可订阅TradingView或通达信胜赢家类指标插件，用于快速筛选和画图分析。</w:t>
      </w:r>
    </w:p>
    <w:p w14:paraId="2885860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记录与分析工具</w:t>
      </w:r>
      <w:r>
        <w:rPr>
          <w:rFonts w:hint="eastAsia"/>
        </w:rPr>
        <w:t>：推荐使用Notion、OneNote或Excel建立交易日志和复盘表格（可导出CSV）。Notion适合制作每日操作清单和看板。</w:t>
      </w:r>
    </w:p>
    <w:p w14:paraId="28643D7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自动化辅助</w:t>
      </w:r>
      <w:r>
        <w:rPr>
          <w:rFonts w:hint="eastAsia"/>
        </w:rPr>
        <w:t>：如有编程能力，可用Python结合pandas/AkShare自动筛股、计算技术指标；或使用OpenAI</w:t>
      </w:r>
      <w:r>
        <w:t xml:space="preserve"> </w:t>
      </w:r>
      <w:r>
        <w:rPr>
          <w:rFonts w:hint="eastAsia"/>
        </w:rPr>
        <w:t>API写总结、给出可优化建议。但</w:t>
      </w:r>
      <w:r>
        <w:rPr>
          <w:rFonts w:hint="eastAsia"/>
          <w:b/>
          <w:bCs/>
        </w:rPr>
        <w:t>不推荐</w:t>
      </w:r>
      <w:r>
        <w:rPr>
          <w:rFonts w:hint="eastAsia"/>
        </w:rPr>
        <w:t>完全依赖自动化决策，主要还是训练个人纪律。</w:t>
      </w:r>
    </w:p>
    <w:p w14:paraId="70D9BD3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成本预算</w:t>
      </w:r>
      <w:r>
        <w:rPr>
          <w:rFonts w:hint="eastAsia"/>
        </w:rPr>
        <w:t>：基础软件和数据有免费选项；若使用机构版数据（如Wind）或高级绘图工具则需支付订阅费。总体而言，用5000元完全可以覆盖一切。</w:t>
      </w:r>
    </w:p>
    <w:bookmarkEnd w:id="15"/>
    <w:p w14:paraId="78F1F8D0">
      <w:pPr>
        <w:pStyle w:val="4"/>
      </w:pPr>
      <w:bookmarkStart w:id="16" w:name="交付物清单与下一步"/>
      <w:r>
        <w:rPr>
          <w:rFonts w:hint="eastAsia"/>
        </w:rPr>
        <w:t>交付物清单与下一步</w:t>
      </w:r>
    </w:p>
    <w:p w14:paraId="772C0C0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可复制模板</w:t>
      </w:r>
      <w:r>
        <w:rPr>
          <w:rFonts w:hint="eastAsia"/>
        </w:rPr>
        <w:t>：</w:t>
      </w:r>
    </w:p>
    <w:p w14:paraId="17EF999F">
      <w:pPr>
        <w:pStyle w:val="24"/>
        <w:numPr>
          <w:ilvl w:val="0"/>
          <w:numId w:val="1"/>
        </w:numPr>
      </w:pPr>
      <w:r>
        <w:rPr>
          <w:rFonts w:hint="eastAsia"/>
        </w:rPr>
        <w:t>完整的交易策略文档（Markdown/Word），含上述选股逻辑、买卖规则、流程清单。</w:t>
      </w:r>
    </w:p>
    <w:p w14:paraId="56CE93CE">
      <w:pPr>
        <w:pStyle w:val="24"/>
        <w:numPr>
          <w:ilvl w:val="0"/>
          <w:numId w:val="1"/>
        </w:numPr>
      </w:pPr>
      <w:r>
        <w:rPr>
          <w:rFonts w:hint="eastAsia"/>
        </w:rPr>
        <w:t>选股筛选器逻辑（可复制到A股选股软件的条件列表）。</w:t>
      </w:r>
    </w:p>
    <w:p w14:paraId="32789E91">
      <w:pPr>
        <w:pStyle w:val="24"/>
        <w:numPr>
          <w:ilvl w:val="0"/>
          <w:numId w:val="1"/>
        </w:numPr>
      </w:pPr>
      <w:r>
        <w:rPr>
          <w:rFonts w:hint="eastAsia"/>
          <w:i/>
          <w:iCs/>
        </w:rPr>
        <w:t>每日操作清单</w:t>
      </w:r>
      <w:r>
        <w:rPr>
          <w:rFonts w:hint="eastAsia"/>
        </w:rPr>
        <w:t>（Morning</w:t>
      </w:r>
      <w:r>
        <w:t xml:space="preserve"> </w:t>
      </w:r>
      <w:r>
        <w:rPr>
          <w:rFonts w:hint="eastAsia"/>
        </w:rPr>
        <w:t>Routine）和</w:t>
      </w:r>
      <w:r>
        <w:rPr>
          <w:rFonts w:hint="eastAsia"/>
          <w:i/>
          <w:iCs/>
        </w:rPr>
        <w:t>复盘清单</w:t>
      </w:r>
      <w:r>
        <w:rPr>
          <w:rFonts w:hint="eastAsia"/>
        </w:rPr>
        <w:t>（Evening</w:t>
      </w:r>
      <w:r>
        <w:t xml:space="preserve"> </w:t>
      </w:r>
      <w:r>
        <w:rPr>
          <w:rFonts w:hint="eastAsia"/>
        </w:rPr>
        <w:t>Routine）模板，可直接导入Notion或Excel。</w:t>
      </w:r>
    </w:p>
    <w:p w14:paraId="448A4E10">
      <w:pPr>
        <w:pStyle w:val="24"/>
        <w:numPr>
          <w:ilvl w:val="0"/>
          <w:numId w:val="1"/>
        </w:numPr>
      </w:pPr>
      <w:r>
        <w:rPr>
          <w:rFonts w:hint="eastAsia"/>
          <w:i/>
          <w:iCs/>
        </w:rPr>
        <w:t>交易日志模板</w:t>
      </w:r>
      <w:r>
        <w:rPr>
          <w:rFonts w:hint="eastAsia"/>
        </w:rPr>
        <w:t>（Excel/Markdown表格），包含交易字段和统计功能。</w:t>
      </w:r>
    </w:p>
    <w:p w14:paraId="0B0F3664">
      <w:pPr>
        <w:pStyle w:val="24"/>
        <w:numPr>
          <w:ilvl w:val="0"/>
          <w:numId w:val="1"/>
        </w:numPr>
      </w:pPr>
      <w:r>
        <w:rPr>
          <w:rFonts w:hint="eastAsia"/>
          <w:i/>
          <w:iCs/>
        </w:rPr>
        <w:t>绩效统计报表</w:t>
      </w:r>
      <w:r>
        <w:rPr>
          <w:rFonts w:hint="eastAsia"/>
        </w:rPr>
        <w:t>（Excel）示例，自动计算胜率、盈亏、违规率等关键指标。</w:t>
      </w:r>
    </w:p>
    <w:p w14:paraId="55FAB698">
      <w:pPr>
        <w:pStyle w:val="24"/>
        <w:numPr>
          <w:ilvl w:val="0"/>
          <w:numId w:val="1"/>
        </w:numPr>
      </w:pPr>
      <w:r>
        <w:rPr>
          <w:rFonts w:hint="eastAsia"/>
        </w:rPr>
        <w:t>Mermaid流程图/Gantt图文件：训练计划时间线与每日流程图示（本回答中已给出代码）。</w:t>
      </w:r>
    </w:p>
    <w:p w14:paraId="05278DD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示例</w:t>
      </w:r>
      <w:r>
        <w:rPr>
          <w:rFonts w:hint="eastAsia"/>
        </w:rPr>
        <w:t>：可附几个示例交易记录条目或K线图形状说明，以便初学者参考。</w:t>
      </w:r>
    </w:p>
    <w:p w14:paraId="1917B6C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下一步操作建议</w:t>
      </w:r>
      <w:r>
        <w:rPr>
          <w:rFonts w:hint="eastAsia"/>
        </w:rPr>
        <w:t>：</w:t>
      </w:r>
    </w:p>
    <w:p w14:paraId="65305A3A">
      <w:pPr>
        <w:pStyle w:val="24"/>
        <w:numPr>
          <w:ilvl w:val="0"/>
          <w:numId w:val="1"/>
        </w:numPr>
      </w:pPr>
      <w:r>
        <w:rPr>
          <w:rFonts w:hint="eastAsia"/>
        </w:rPr>
        <w:t>立即</w:t>
      </w:r>
      <w:r>
        <w:rPr>
          <w:rFonts w:hint="eastAsia"/>
          <w:b/>
          <w:bCs/>
        </w:rPr>
        <w:t>梳理个人交易习惯和持仓</w:t>
      </w:r>
      <w:r>
        <w:rPr>
          <w:rFonts w:hint="eastAsia"/>
        </w:rPr>
        <w:t>，识别之前最大的违规行为（比如过度加仓、无止损）。</w:t>
      </w:r>
    </w:p>
    <w:p w14:paraId="09555703">
      <w:pPr>
        <w:pStyle w:val="24"/>
        <w:numPr>
          <w:ilvl w:val="0"/>
          <w:numId w:val="1"/>
        </w:numPr>
      </w:pPr>
      <w:r>
        <w:rPr>
          <w:rFonts w:hint="eastAsia"/>
        </w:rPr>
        <w:t>从今天起实施“</w:t>
      </w:r>
      <w:r>
        <w:rPr>
          <w:rFonts w:hint="eastAsia"/>
          <w:b/>
          <w:bCs/>
        </w:rPr>
        <w:t>30天训练计划</w:t>
      </w:r>
      <w:r>
        <w:rPr>
          <w:rFonts w:hint="eastAsia"/>
        </w:rPr>
        <w:t>”：实盘资金不超过总额的20%，严格执行上述规则。每天更新日志。</w:t>
      </w:r>
    </w:p>
    <w:p w14:paraId="6F0EC230">
      <w:pPr>
        <w:pStyle w:val="24"/>
        <w:numPr>
          <w:ilvl w:val="0"/>
          <w:numId w:val="1"/>
        </w:numPr>
      </w:pPr>
      <w:r>
        <w:rPr>
          <w:rFonts w:hint="eastAsia"/>
        </w:rPr>
        <w:t>每周汇总一次数据（收益、回撤、违规次数），根据情况调整策略。</w:t>
      </w:r>
    </w:p>
    <w:p w14:paraId="0F9A10C6">
      <w:pPr>
        <w:pStyle w:val="24"/>
        <w:numPr>
          <w:ilvl w:val="0"/>
          <w:numId w:val="1"/>
        </w:numPr>
      </w:pPr>
      <w:r>
        <w:rPr>
          <w:rFonts w:hint="eastAsia"/>
        </w:rPr>
        <w:t>结合本方案中的表格和模板，搭建一个属于你的专属交易决策系统。</w:t>
      </w:r>
    </w:p>
    <w:p w14:paraId="65F3306A">
      <w:pPr>
        <w:pStyle w:val="13"/>
      </w:pPr>
      <w:r>
        <w:rPr>
          <w:rFonts w:hint="eastAsia"/>
          <w:b/>
          <w:bCs/>
        </w:rPr>
        <w:t>记住</w:t>
      </w:r>
      <w:r>
        <w:rPr>
          <w:rFonts w:hint="eastAsia"/>
        </w:rPr>
        <w:t>：恢复亏损98%的唯一可行之路，是抛弃侥幸心理和赌徒思维，踏踏实实执行纪律严明的交易系统。与其“赌一把”，不如每天进步一点。当你真正做到“每月不爆仓、回撤可控”，才谈得上“翻身”。加油！</w:t>
      </w:r>
    </w:p>
    <w:bookmarkEnd w:id="2"/>
    <w:bookmarkEnd w:id="3"/>
    <w:bookmarkEnd w:id="16"/>
    <w:p w14:paraId="2FA3B1A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CB775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768</Words>
  <Characters>882</Characters>
  <Lines>12</Lines>
  <Paragraphs>8</Paragraphs>
  <TotalTime>22</TotalTime>
  <ScaleCrop>false</ScaleCrop>
  <LinksUpToDate>false</LinksUpToDate>
  <CharactersWithSpaces>887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2026-06-13T16:55:00Z</dcterms:created>
  <dc:creator>wei</dc:creator>
  <cp:lastModifiedBy>wei</cp:lastModifiedBy>
  <dcterms:modified xsi:type="dcterms:W3CDTF">2026-06-13T17:12:09Z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TemplateDocerSaveRecord">
    <vt:lpwstr>eyJoZGlkIjoiMjlhYzYxZDNjZDg0MmZkMDY0MzYwNTgwODI1NDZhNzYiLCJ1c2VySWQiOiI0MjI0MzczNjUifQ==</vt:lpwstr>
  </property>
  <property fmtid="{D5CDD505-2E9C-101B-9397-08002B2CF9AE}" pid="4" name="KSOProductBuildVer">
    <vt:lpwstr>2052-12.1.0.25225</vt:lpwstr>
  </property>
  <property fmtid="{D5CDD505-2E9C-101B-9397-08002B2CF9AE}" pid="5" name="ICV">
    <vt:lpwstr>B019F3C039C0485593552EB7CF42A67C_12</vt:lpwstr>
  </property>
</Properties>
</file>