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Advanced Data Analysis and Visualization in Logistics</w:t>
      </w:r>
    </w:p>
    <w:p>
      <w:pPr>
        <w:spacing w:after="320"/>
      </w:pPr>
      <w:r>
        <w:rPr>
          <w:rFonts w:ascii="Calibri" w:hAnsi="Calibri"/>
          <w:i/>
          <w:color w:val="64748B"/>
          <w:sz w:val="24"/>
        </w:rPr>
        <w:t>Week 3 Technical Report &amp; Analytical Documentation | Operational Efficiency &amp; Cost Drivers</w:t>
      </w:r>
    </w:p>
    <w:p>
      <w:pPr>
        <w:keepNext/>
        <w:spacing w:before="280" w:after="120"/>
      </w:pPr>
      <w:r>
        <w:rPr>
          <w:rFonts w:ascii="Calibri" w:hAnsi="Calibri"/>
          <w:b/>
          <w:color w:val="1E40AF"/>
          <w:sz w:val="30"/>
        </w:rPr>
        <w:t>1. Objective &amp; Executive Summary</w:t>
      </w:r>
    </w:p>
    <w:p>
      <w:pPr>
        <w:spacing w:after="120" w:line="276" w:lineRule="auto"/>
      </w:pPr>
      <w:r>
        <w:rPr>
          <w:rFonts w:ascii="Calibri" w:hAnsi="Calibri"/>
          <w:color w:val="334155"/>
          <w:sz w:val="21"/>
        </w:rPr>
        <w:t>In modern third-party logistics (3PL) and supply chain management, operational decisions must be guided by quantitative metrics rather than intuition. This technical report explores an enterprise-scale logistics dataset (1,200 multi-modal freight consignments) to uncover transit inefficiencies, freight cost drivers, carrier service level compliance, and terminal bottlenecks. Using Python's scientific computing stack (pandas, numpy, scipy, matplotlib, seaborn), this study conducts comprehensive Exploratory Data Analysis (EDA), executes advanced data visualizations, and derives evidence-backed operational strategies to improve On-Time In-Full (OTIF) fulfillment while minimizing unit shipping expenses.</w:t>
      </w:r>
    </w:p>
    <w:p>
      <w:pPr>
        <w:keepNext/>
        <w:spacing w:before="280" w:after="120"/>
      </w:pPr>
      <w:r>
        <w:rPr>
          <w:rFonts w:ascii="Calibri" w:hAnsi="Calibri"/>
          <w:b/>
          <w:color w:val="1E40AF"/>
          <w:sz w:val="30"/>
        </w:rPr>
        <w:t>2. Data Simulation &amp; Reference Schema</w:t>
      </w:r>
    </w:p>
    <w:p>
      <w:pPr>
        <w:spacing w:after="120" w:line="276" w:lineRule="auto"/>
      </w:pPr>
      <w:r>
        <w:rPr>
          <w:rFonts w:ascii="Calibri" w:hAnsi="Calibri"/>
          <w:color w:val="334155"/>
          <w:sz w:val="21"/>
        </w:rPr>
        <w:t>A 1,200-record dataset was synthesized mirroring real-world multimodal domestic shipping networks across key Indian commercial corridors (e.g., Mumbai-Surat, Delhi-Jaipur, Bengaluru-Chennai). The schema captures key logistics variables: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r>
              <w:rPr>
                <w:rFonts w:ascii="Calibri" w:hAnsi="Calibri"/>
                <w:b/>
                <w:color w:val="FFFFFF"/>
                <w:sz w:val="19"/>
              </w:rPr>
              <w:t>Variable Name</w:t>
            </w:r>
          </w:p>
        </w:tc>
        <w:tc>
          <w:tcPr>
            <w:tcW w:type="dxa" w:w="2340"/>
            <w:shd w:fill="1E3A8A"/>
            <w:tcMar>
              <w:top w:w="120" w:type="dxa"/>
              <w:bottom w:w="120" w:type="dxa"/>
              <w:left w:w="140" w:type="dxa"/>
              <w:right w:w="140" w:type="dxa"/>
            </w:tcMar>
          </w:tcPr>
          <w:p>
            <w:r>
              <w:rPr>
                <w:rFonts w:ascii="Calibri" w:hAnsi="Calibri"/>
                <w:b/>
                <w:color w:val="FFFFFF"/>
                <w:sz w:val="19"/>
              </w:rPr>
              <w:t>Data Type</w:t>
            </w:r>
          </w:p>
        </w:tc>
        <w:tc>
          <w:tcPr>
            <w:tcW w:type="dxa" w:w="2340"/>
            <w:shd w:fill="1E3A8A"/>
            <w:tcMar>
              <w:top w:w="120" w:type="dxa"/>
              <w:bottom w:w="120" w:type="dxa"/>
              <w:left w:w="140" w:type="dxa"/>
              <w:right w:w="140" w:type="dxa"/>
            </w:tcMar>
          </w:tcPr>
          <w:p>
            <w:r>
              <w:rPr>
                <w:rFonts w:ascii="Calibri" w:hAnsi="Calibri"/>
                <w:b/>
                <w:color w:val="FFFFFF"/>
                <w:sz w:val="19"/>
              </w:rPr>
              <w:t>Operational Definition</w:t>
            </w:r>
          </w:p>
        </w:tc>
        <w:tc>
          <w:tcPr>
            <w:tcW w:type="dxa" w:w="2340"/>
            <w:shd w:fill="1E3A8A"/>
            <w:tcMar>
              <w:top w:w="120" w:type="dxa"/>
              <w:bottom w:w="120" w:type="dxa"/>
              <w:left w:w="140" w:type="dxa"/>
              <w:right w:w="140" w:type="dxa"/>
            </w:tcMar>
          </w:tcPr>
          <w:p>
            <w:r>
              <w:rPr>
                <w:rFonts w:ascii="Calibri" w:hAnsi="Calibri"/>
                <w:b/>
                <w:color w:val="FFFFFF"/>
                <w:sz w:val="19"/>
              </w:rPr>
              <w:t>Logistics Domain Context</w:t>
            </w:r>
          </w:p>
        </w:tc>
      </w:tr>
      <w:tr>
        <w:tc>
          <w:tcPr>
            <w:tcW w:type="dxa" w:w="2340"/>
            <w:shd w:fill="FFFFFF"/>
            <w:tcMar>
              <w:top w:w="100" w:type="dxa"/>
              <w:bottom w:w="100" w:type="dxa"/>
              <w:left w:w="120" w:type="dxa"/>
              <w:right w:w="120" w:type="dxa"/>
            </w:tcMar>
          </w:tcPr>
          <w:p>
            <w:r>
              <w:rPr>
                <w:rFonts w:ascii="Calibri" w:hAnsi="Calibri"/>
                <w:color w:val="1E293B"/>
                <w:sz w:val="18"/>
              </w:rPr>
              <w:t>shipment_id</w:t>
            </w:r>
          </w:p>
        </w:tc>
        <w:tc>
          <w:tcPr>
            <w:tcW w:type="dxa" w:w="2340"/>
            <w:shd w:fill="FFFFFF"/>
            <w:tcMar>
              <w:top w:w="100" w:type="dxa"/>
              <w:bottom w:w="100" w:type="dxa"/>
              <w:left w:w="120" w:type="dxa"/>
              <w:right w:w="120" w:type="dxa"/>
            </w:tcMar>
          </w:tcPr>
          <w:p>
            <w:r>
              <w:rPr>
                <w:rFonts w:ascii="Calibri" w:hAnsi="Calibri"/>
                <w:color w:val="1E293B"/>
                <w:sz w:val="18"/>
              </w:rPr>
              <w:t>String</w:t>
            </w:r>
          </w:p>
        </w:tc>
        <w:tc>
          <w:tcPr>
            <w:tcW w:type="dxa" w:w="2340"/>
            <w:shd w:fill="FFFFFF"/>
            <w:tcMar>
              <w:top w:w="100" w:type="dxa"/>
              <w:bottom w:w="100" w:type="dxa"/>
              <w:left w:w="120" w:type="dxa"/>
              <w:right w:w="120" w:type="dxa"/>
            </w:tcMar>
          </w:tcPr>
          <w:p>
            <w:r>
              <w:rPr>
                <w:rFonts w:ascii="Calibri" w:hAnsi="Calibri"/>
                <w:color w:val="1E293B"/>
                <w:sz w:val="18"/>
              </w:rPr>
              <w:t>Unique consignment tracker</w:t>
            </w:r>
          </w:p>
        </w:tc>
        <w:tc>
          <w:tcPr>
            <w:tcW w:type="dxa" w:w="2340"/>
            <w:shd w:fill="FFFFFF"/>
            <w:tcMar>
              <w:top w:w="100" w:type="dxa"/>
              <w:bottom w:w="100" w:type="dxa"/>
              <w:left w:w="120" w:type="dxa"/>
              <w:right w:w="120" w:type="dxa"/>
            </w:tcMar>
          </w:tcPr>
          <w:p>
            <w:r>
              <w:rPr>
                <w:rFonts w:ascii="Calibri" w:hAnsi="Calibri"/>
                <w:color w:val="1E293B"/>
                <w:sz w:val="18"/>
              </w:rPr>
              <w:t>Tracking and tracing identification</w:t>
            </w:r>
          </w:p>
        </w:tc>
      </w:tr>
      <w:tr>
        <w:tc>
          <w:tcPr>
            <w:tcW w:type="dxa" w:w="2340"/>
            <w:shd w:fill="F8FAFC"/>
            <w:tcMar>
              <w:top w:w="100" w:type="dxa"/>
              <w:bottom w:w="100" w:type="dxa"/>
              <w:left w:w="120" w:type="dxa"/>
              <w:right w:w="120" w:type="dxa"/>
            </w:tcMar>
          </w:tcPr>
          <w:p>
            <w:r>
              <w:rPr>
                <w:rFonts w:ascii="Calibri" w:hAnsi="Calibri"/>
                <w:color w:val="1E293B"/>
                <w:sz w:val="18"/>
              </w:rPr>
              <w:t>route</w:t>
            </w:r>
          </w:p>
        </w:tc>
        <w:tc>
          <w:tcPr>
            <w:tcW w:type="dxa" w:w="2340"/>
            <w:shd w:fill="F8FAFC"/>
            <w:tcMar>
              <w:top w:w="100" w:type="dxa"/>
              <w:bottom w:w="100" w:type="dxa"/>
              <w:left w:w="120" w:type="dxa"/>
              <w:right w:w="120" w:type="dxa"/>
            </w:tcMar>
          </w:tcPr>
          <w:p>
            <w:r>
              <w:rPr>
                <w:rFonts w:ascii="Calibri" w:hAnsi="Calibri"/>
                <w:color w:val="1E293B"/>
                <w:sz w:val="18"/>
              </w:rPr>
              <w:t>Categorical</w:t>
            </w:r>
          </w:p>
        </w:tc>
        <w:tc>
          <w:tcPr>
            <w:tcW w:type="dxa" w:w="2340"/>
            <w:shd w:fill="F8FAFC"/>
            <w:tcMar>
              <w:top w:w="100" w:type="dxa"/>
              <w:bottom w:w="100" w:type="dxa"/>
              <w:left w:w="120" w:type="dxa"/>
              <w:right w:w="120" w:type="dxa"/>
            </w:tcMar>
          </w:tcPr>
          <w:p>
            <w:r>
              <w:rPr>
                <w:rFonts w:ascii="Calibri" w:hAnsi="Calibri"/>
                <w:color w:val="1E293B"/>
                <w:sz w:val="18"/>
              </w:rPr>
              <w:t>Origin-Destination corridor</w:t>
            </w:r>
          </w:p>
        </w:tc>
        <w:tc>
          <w:tcPr>
            <w:tcW w:type="dxa" w:w="2340"/>
            <w:shd w:fill="F8FAFC"/>
            <w:tcMar>
              <w:top w:w="100" w:type="dxa"/>
              <w:bottom w:w="100" w:type="dxa"/>
              <w:left w:w="120" w:type="dxa"/>
              <w:right w:w="120" w:type="dxa"/>
            </w:tcMar>
          </w:tcPr>
          <w:p>
            <w:r>
              <w:rPr>
                <w:rFonts w:ascii="Calibri" w:hAnsi="Calibri"/>
                <w:color w:val="1E293B"/>
                <w:sz w:val="18"/>
              </w:rPr>
              <w:t>Core freight lanes across distribution hubs</w:t>
            </w:r>
          </w:p>
        </w:tc>
      </w:tr>
      <w:tr>
        <w:tc>
          <w:tcPr>
            <w:tcW w:type="dxa" w:w="2340"/>
            <w:shd w:fill="FFFFFF"/>
            <w:tcMar>
              <w:top w:w="100" w:type="dxa"/>
              <w:bottom w:w="100" w:type="dxa"/>
              <w:left w:w="120" w:type="dxa"/>
              <w:right w:w="120" w:type="dxa"/>
            </w:tcMar>
          </w:tcPr>
          <w:p>
            <w:r>
              <w:rPr>
                <w:rFonts w:ascii="Calibri" w:hAnsi="Calibri"/>
                <w:color w:val="1E293B"/>
                <w:sz w:val="18"/>
              </w:rPr>
              <w:t>transport_mode</w:t>
            </w:r>
          </w:p>
        </w:tc>
        <w:tc>
          <w:tcPr>
            <w:tcW w:type="dxa" w:w="2340"/>
            <w:shd w:fill="FFFFFF"/>
            <w:tcMar>
              <w:top w:w="100" w:type="dxa"/>
              <w:bottom w:w="100" w:type="dxa"/>
              <w:left w:w="120" w:type="dxa"/>
              <w:right w:w="120" w:type="dxa"/>
            </w:tcMar>
          </w:tcPr>
          <w:p>
            <w:r>
              <w:rPr>
                <w:rFonts w:ascii="Calibri" w:hAnsi="Calibri"/>
                <w:color w:val="1E293B"/>
                <w:sz w:val="18"/>
              </w:rPr>
              <w:t>Categorical</w:t>
            </w:r>
          </w:p>
        </w:tc>
        <w:tc>
          <w:tcPr>
            <w:tcW w:type="dxa" w:w="2340"/>
            <w:shd w:fill="FFFFFF"/>
            <w:tcMar>
              <w:top w:w="100" w:type="dxa"/>
              <w:bottom w:w="100" w:type="dxa"/>
              <w:left w:w="120" w:type="dxa"/>
              <w:right w:w="120" w:type="dxa"/>
            </w:tcMar>
          </w:tcPr>
          <w:p>
            <w:r>
              <w:rPr>
                <w:rFonts w:ascii="Calibri" w:hAnsi="Calibri"/>
                <w:color w:val="1E293B"/>
                <w:sz w:val="18"/>
              </w:rPr>
              <w:t>Modal vehicle (Road, Rail, Air, Sea)</w:t>
            </w:r>
          </w:p>
        </w:tc>
        <w:tc>
          <w:tcPr>
            <w:tcW w:type="dxa" w:w="2340"/>
            <w:shd w:fill="FFFFFF"/>
            <w:tcMar>
              <w:top w:w="100" w:type="dxa"/>
              <w:bottom w:w="100" w:type="dxa"/>
              <w:left w:w="120" w:type="dxa"/>
              <w:right w:w="120" w:type="dxa"/>
            </w:tcMar>
          </w:tcPr>
          <w:p>
            <w:r>
              <w:rPr>
                <w:rFonts w:ascii="Calibri" w:hAnsi="Calibri"/>
                <w:color w:val="1E293B"/>
                <w:sz w:val="18"/>
              </w:rPr>
              <w:t>Dictates transit velocity and variable operating cost</w:t>
            </w:r>
          </w:p>
        </w:tc>
      </w:tr>
      <w:tr>
        <w:tc>
          <w:tcPr>
            <w:tcW w:type="dxa" w:w="2340"/>
            <w:shd w:fill="F8FAFC"/>
            <w:tcMar>
              <w:top w:w="100" w:type="dxa"/>
              <w:bottom w:w="100" w:type="dxa"/>
              <w:left w:w="120" w:type="dxa"/>
              <w:right w:w="120" w:type="dxa"/>
            </w:tcMar>
          </w:tcPr>
          <w:p>
            <w:r>
              <w:rPr>
                <w:rFonts w:ascii="Calibri" w:hAnsi="Calibri"/>
                <w:color w:val="1E293B"/>
                <w:sz w:val="18"/>
              </w:rPr>
              <w:t>carrier</w:t>
            </w:r>
          </w:p>
        </w:tc>
        <w:tc>
          <w:tcPr>
            <w:tcW w:type="dxa" w:w="2340"/>
            <w:shd w:fill="F8FAFC"/>
            <w:tcMar>
              <w:top w:w="100" w:type="dxa"/>
              <w:bottom w:w="100" w:type="dxa"/>
              <w:left w:w="120" w:type="dxa"/>
              <w:right w:w="120" w:type="dxa"/>
            </w:tcMar>
          </w:tcPr>
          <w:p>
            <w:r>
              <w:rPr>
                <w:rFonts w:ascii="Calibri" w:hAnsi="Calibri"/>
                <w:color w:val="1E293B"/>
                <w:sz w:val="18"/>
              </w:rPr>
              <w:t>Categorical</w:t>
            </w:r>
          </w:p>
        </w:tc>
        <w:tc>
          <w:tcPr>
            <w:tcW w:type="dxa" w:w="2340"/>
            <w:shd w:fill="F8FAFC"/>
            <w:tcMar>
              <w:top w:w="100" w:type="dxa"/>
              <w:bottom w:w="100" w:type="dxa"/>
              <w:left w:w="120" w:type="dxa"/>
              <w:right w:w="120" w:type="dxa"/>
            </w:tcMar>
          </w:tcPr>
          <w:p>
            <w:r>
              <w:rPr>
                <w:rFonts w:ascii="Calibri" w:hAnsi="Calibri"/>
                <w:color w:val="1E293B"/>
                <w:sz w:val="18"/>
              </w:rPr>
              <w:t>Third-party logistics partner</w:t>
            </w:r>
          </w:p>
        </w:tc>
        <w:tc>
          <w:tcPr>
            <w:tcW w:type="dxa" w:w="2340"/>
            <w:shd w:fill="F8FAFC"/>
            <w:tcMar>
              <w:top w:w="100" w:type="dxa"/>
              <w:bottom w:w="100" w:type="dxa"/>
              <w:left w:w="120" w:type="dxa"/>
              <w:right w:w="120" w:type="dxa"/>
            </w:tcMar>
          </w:tcPr>
          <w:p>
            <w:r>
              <w:rPr>
                <w:rFonts w:ascii="Calibri" w:hAnsi="Calibri"/>
                <w:color w:val="1E293B"/>
                <w:sz w:val="18"/>
              </w:rPr>
              <w:t>Carrier accountability and SLA enforcement</w:t>
            </w:r>
          </w:p>
        </w:tc>
      </w:tr>
      <w:tr>
        <w:tc>
          <w:tcPr>
            <w:tcW w:type="dxa" w:w="2340"/>
            <w:shd w:fill="FFFFFF"/>
            <w:tcMar>
              <w:top w:w="100" w:type="dxa"/>
              <w:bottom w:w="100" w:type="dxa"/>
              <w:left w:w="120" w:type="dxa"/>
              <w:right w:w="120" w:type="dxa"/>
            </w:tcMar>
          </w:tcPr>
          <w:p>
            <w:r>
              <w:rPr>
                <w:rFonts w:ascii="Calibri" w:hAnsi="Calibri"/>
                <w:color w:val="1E293B"/>
                <w:sz w:val="18"/>
              </w:rPr>
              <w:t>weight_kg</w:t>
            </w:r>
          </w:p>
        </w:tc>
        <w:tc>
          <w:tcPr>
            <w:tcW w:type="dxa" w:w="2340"/>
            <w:shd w:fill="FFFFFF"/>
            <w:tcMar>
              <w:top w:w="100" w:type="dxa"/>
              <w:bottom w:w="100" w:type="dxa"/>
              <w:left w:w="120" w:type="dxa"/>
              <w:right w:w="120" w:type="dxa"/>
            </w:tcMar>
          </w:tcPr>
          <w:p>
            <w:r>
              <w:rPr>
                <w:rFonts w:ascii="Calibri" w:hAnsi="Calibri"/>
                <w:color w:val="1E293B"/>
                <w:sz w:val="18"/>
              </w:rPr>
              <w:t>Float</w:t>
            </w:r>
          </w:p>
        </w:tc>
        <w:tc>
          <w:tcPr>
            <w:tcW w:type="dxa" w:w="2340"/>
            <w:shd w:fill="FFFFFF"/>
            <w:tcMar>
              <w:top w:w="100" w:type="dxa"/>
              <w:bottom w:w="100" w:type="dxa"/>
              <w:left w:w="120" w:type="dxa"/>
              <w:right w:w="120" w:type="dxa"/>
            </w:tcMar>
          </w:tcPr>
          <w:p>
            <w:r>
              <w:rPr>
                <w:rFonts w:ascii="Calibri" w:hAnsi="Calibri"/>
                <w:color w:val="1E293B"/>
                <w:sz w:val="18"/>
              </w:rPr>
              <w:t>Gross cargo weight (kg)</w:t>
            </w:r>
          </w:p>
        </w:tc>
        <w:tc>
          <w:tcPr>
            <w:tcW w:type="dxa" w:w="2340"/>
            <w:shd w:fill="FFFFFF"/>
            <w:tcMar>
              <w:top w:w="100" w:type="dxa"/>
              <w:bottom w:w="100" w:type="dxa"/>
              <w:left w:w="120" w:type="dxa"/>
              <w:right w:w="120" w:type="dxa"/>
            </w:tcMar>
          </w:tcPr>
          <w:p>
            <w:r>
              <w:rPr>
                <w:rFonts w:ascii="Calibri" w:hAnsi="Calibri"/>
                <w:color w:val="1E293B"/>
                <w:sz w:val="18"/>
              </w:rPr>
              <w:t>Load planning, axle limit, and rate weight brackets</w:t>
            </w:r>
          </w:p>
        </w:tc>
      </w:tr>
      <w:tr>
        <w:tc>
          <w:tcPr>
            <w:tcW w:type="dxa" w:w="2340"/>
            <w:shd w:fill="F8FAFC"/>
            <w:tcMar>
              <w:top w:w="100" w:type="dxa"/>
              <w:bottom w:w="100" w:type="dxa"/>
              <w:left w:w="120" w:type="dxa"/>
              <w:right w:w="120" w:type="dxa"/>
            </w:tcMar>
          </w:tcPr>
          <w:p>
            <w:r>
              <w:rPr>
                <w:rFonts w:ascii="Calibri" w:hAnsi="Calibri"/>
                <w:color w:val="1E293B"/>
                <w:sz w:val="18"/>
              </w:rPr>
              <w:t>shipment_volume_cbm</w:t>
            </w:r>
          </w:p>
        </w:tc>
        <w:tc>
          <w:tcPr>
            <w:tcW w:type="dxa" w:w="2340"/>
            <w:shd w:fill="F8FAFC"/>
            <w:tcMar>
              <w:top w:w="100" w:type="dxa"/>
              <w:bottom w:w="100" w:type="dxa"/>
              <w:left w:w="120" w:type="dxa"/>
              <w:right w:w="120" w:type="dxa"/>
            </w:tcMar>
          </w:tcPr>
          <w:p>
            <w:r>
              <w:rPr>
                <w:rFonts w:ascii="Calibri" w:hAnsi="Calibri"/>
                <w:color w:val="1E293B"/>
                <w:sz w:val="18"/>
              </w:rPr>
              <w:t>Float</w:t>
            </w:r>
          </w:p>
        </w:tc>
        <w:tc>
          <w:tcPr>
            <w:tcW w:type="dxa" w:w="2340"/>
            <w:shd w:fill="F8FAFC"/>
            <w:tcMar>
              <w:top w:w="100" w:type="dxa"/>
              <w:bottom w:w="100" w:type="dxa"/>
              <w:left w:w="120" w:type="dxa"/>
              <w:right w:w="120" w:type="dxa"/>
            </w:tcMar>
          </w:tcPr>
          <w:p>
            <w:r>
              <w:rPr>
                <w:rFonts w:ascii="Calibri" w:hAnsi="Calibri"/>
                <w:color w:val="1E293B"/>
                <w:sz w:val="18"/>
              </w:rPr>
              <w:t>Cargo cubage (m³)</w:t>
            </w:r>
          </w:p>
        </w:tc>
        <w:tc>
          <w:tcPr>
            <w:tcW w:type="dxa" w:w="2340"/>
            <w:shd w:fill="F8FAFC"/>
            <w:tcMar>
              <w:top w:w="100" w:type="dxa"/>
              <w:bottom w:w="100" w:type="dxa"/>
              <w:left w:w="120" w:type="dxa"/>
              <w:right w:w="120" w:type="dxa"/>
            </w:tcMar>
          </w:tcPr>
          <w:p>
            <w:r>
              <w:rPr>
                <w:rFonts w:ascii="Calibri" w:hAnsi="Calibri"/>
                <w:color w:val="1E293B"/>
                <w:sz w:val="18"/>
              </w:rPr>
              <w:t>Dimensional weight (volumetric) capacity utilization</w:t>
            </w:r>
          </w:p>
        </w:tc>
      </w:tr>
      <w:tr>
        <w:tc>
          <w:tcPr>
            <w:tcW w:type="dxa" w:w="2340"/>
            <w:shd w:fill="FFFFFF"/>
            <w:tcMar>
              <w:top w:w="100" w:type="dxa"/>
              <w:bottom w:w="100" w:type="dxa"/>
              <w:left w:w="120" w:type="dxa"/>
              <w:right w:w="120" w:type="dxa"/>
            </w:tcMar>
          </w:tcPr>
          <w:p>
            <w:r>
              <w:rPr>
                <w:rFonts w:ascii="Calibri" w:hAnsi="Calibri"/>
                <w:color w:val="1E293B"/>
                <w:sz w:val="18"/>
              </w:rPr>
              <w:t>distance_km</w:t>
            </w:r>
          </w:p>
        </w:tc>
        <w:tc>
          <w:tcPr>
            <w:tcW w:type="dxa" w:w="2340"/>
            <w:shd w:fill="FFFFFF"/>
            <w:tcMar>
              <w:top w:w="100" w:type="dxa"/>
              <w:bottom w:w="100" w:type="dxa"/>
              <w:left w:w="120" w:type="dxa"/>
              <w:right w:w="120" w:type="dxa"/>
            </w:tcMar>
          </w:tcPr>
          <w:p>
            <w:r>
              <w:rPr>
                <w:rFonts w:ascii="Calibri" w:hAnsi="Calibri"/>
                <w:color w:val="1E293B"/>
                <w:sz w:val="18"/>
              </w:rPr>
              <w:t>Integer</w:t>
            </w:r>
          </w:p>
        </w:tc>
        <w:tc>
          <w:tcPr>
            <w:tcW w:type="dxa" w:w="2340"/>
            <w:shd w:fill="FFFFFF"/>
            <w:tcMar>
              <w:top w:w="100" w:type="dxa"/>
              <w:bottom w:w="100" w:type="dxa"/>
              <w:left w:w="120" w:type="dxa"/>
              <w:right w:w="120" w:type="dxa"/>
            </w:tcMar>
          </w:tcPr>
          <w:p>
            <w:r>
              <w:rPr>
                <w:rFonts w:ascii="Calibri" w:hAnsi="Calibri"/>
                <w:color w:val="1E293B"/>
                <w:sz w:val="18"/>
              </w:rPr>
              <w:t>Physical route haul length</w:t>
            </w:r>
          </w:p>
        </w:tc>
        <w:tc>
          <w:tcPr>
            <w:tcW w:type="dxa" w:w="2340"/>
            <w:shd w:fill="FFFFFF"/>
            <w:tcMar>
              <w:top w:w="100" w:type="dxa"/>
              <w:bottom w:w="100" w:type="dxa"/>
              <w:left w:w="120" w:type="dxa"/>
              <w:right w:w="120" w:type="dxa"/>
            </w:tcMar>
          </w:tcPr>
          <w:p>
            <w:r>
              <w:rPr>
                <w:rFonts w:ascii="Calibri" w:hAnsi="Calibri"/>
                <w:color w:val="1E293B"/>
                <w:sz w:val="18"/>
              </w:rPr>
              <w:t>Fuel consumption and scheduled transit baseline</w:t>
            </w:r>
          </w:p>
        </w:tc>
      </w:tr>
      <w:tr>
        <w:tc>
          <w:tcPr>
            <w:tcW w:type="dxa" w:w="2340"/>
            <w:shd w:fill="F8FAFC"/>
            <w:tcMar>
              <w:top w:w="100" w:type="dxa"/>
              <w:bottom w:w="100" w:type="dxa"/>
              <w:left w:w="120" w:type="dxa"/>
              <w:right w:w="120" w:type="dxa"/>
            </w:tcMar>
          </w:tcPr>
          <w:p>
            <w:r>
              <w:rPr>
                <w:rFonts w:ascii="Calibri" w:hAnsi="Calibri"/>
                <w:color w:val="1E293B"/>
                <w:sz w:val="18"/>
              </w:rPr>
              <w:t>handling_time_hrs</w:t>
            </w:r>
          </w:p>
        </w:tc>
        <w:tc>
          <w:tcPr>
            <w:tcW w:type="dxa" w:w="2340"/>
            <w:shd w:fill="F8FAFC"/>
            <w:tcMar>
              <w:top w:w="100" w:type="dxa"/>
              <w:bottom w:w="100" w:type="dxa"/>
              <w:left w:w="120" w:type="dxa"/>
              <w:right w:w="120" w:type="dxa"/>
            </w:tcMar>
          </w:tcPr>
          <w:p>
            <w:r>
              <w:rPr>
                <w:rFonts w:ascii="Calibri" w:hAnsi="Calibri"/>
                <w:color w:val="1E293B"/>
                <w:sz w:val="18"/>
              </w:rPr>
              <w:t>Float</w:t>
            </w:r>
          </w:p>
        </w:tc>
        <w:tc>
          <w:tcPr>
            <w:tcW w:type="dxa" w:w="2340"/>
            <w:shd w:fill="F8FAFC"/>
            <w:tcMar>
              <w:top w:w="100" w:type="dxa"/>
              <w:bottom w:w="100" w:type="dxa"/>
              <w:left w:w="120" w:type="dxa"/>
              <w:right w:w="120" w:type="dxa"/>
            </w:tcMar>
          </w:tcPr>
          <w:p>
            <w:r>
              <w:rPr>
                <w:rFonts w:ascii="Calibri" w:hAnsi="Calibri"/>
                <w:color w:val="1E293B"/>
                <w:sz w:val="18"/>
              </w:rPr>
              <w:t>Terminal dwell &amp; dock turnaround</w:t>
            </w:r>
          </w:p>
        </w:tc>
        <w:tc>
          <w:tcPr>
            <w:tcW w:type="dxa" w:w="2340"/>
            <w:shd w:fill="F8FAFC"/>
            <w:tcMar>
              <w:top w:w="100" w:type="dxa"/>
              <w:bottom w:w="100" w:type="dxa"/>
              <w:left w:w="120" w:type="dxa"/>
              <w:right w:w="120" w:type="dxa"/>
            </w:tcMar>
          </w:tcPr>
          <w:p>
            <w:r>
              <w:rPr>
                <w:rFonts w:ascii="Calibri" w:hAnsi="Calibri"/>
                <w:color w:val="1E293B"/>
                <w:sz w:val="18"/>
              </w:rPr>
              <w:t>Indicates cross-dock bottlenecks and terminal delay</w:t>
            </w:r>
          </w:p>
        </w:tc>
      </w:tr>
      <w:tr>
        <w:tc>
          <w:tcPr>
            <w:tcW w:type="dxa" w:w="2340"/>
            <w:shd w:fill="FFFFFF"/>
            <w:tcMar>
              <w:top w:w="100" w:type="dxa"/>
              <w:bottom w:w="100" w:type="dxa"/>
              <w:left w:w="120" w:type="dxa"/>
              <w:right w:w="120" w:type="dxa"/>
            </w:tcMar>
          </w:tcPr>
          <w:p>
            <w:r>
              <w:rPr>
                <w:rFonts w:ascii="Calibri" w:hAnsi="Calibri"/>
                <w:color w:val="1E293B"/>
                <w:sz w:val="18"/>
              </w:rPr>
              <w:t>transit_time_hrs</w:t>
            </w:r>
          </w:p>
        </w:tc>
        <w:tc>
          <w:tcPr>
            <w:tcW w:type="dxa" w:w="2340"/>
            <w:shd w:fill="FFFFFF"/>
            <w:tcMar>
              <w:top w:w="100" w:type="dxa"/>
              <w:bottom w:w="100" w:type="dxa"/>
              <w:left w:w="120" w:type="dxa"/>
              <w:right w:w="120" w:type="dxa"/>
            </w:tcMar>
          </w:tcPr>
          <w:p>
            <w:r>
              <w:rPr>
                <w:rFonts w:ascii="Calibri" w:hAnsi="Calibri"/>
                <w:color w:val="1E293B"/>
                <w:sz w:val="18"/>
              </w:rPr>
              <w:t>Float</w:t>
            </w:r>
          </w:p>
        </w:tc>
        <w:tc>
          <w:tcPr>
            <w:tcW w:type="dxa" w:w="2340"/>
            <w:shd w:fill="FFFFFF"/>
            <w:tcMar>
              <w:top w:w="100" w:type="dxa"/>
              <w:bottom w:w="100" w:type="dxa"/>
              <w:left w:w="120" w:type="dxa"/>
              <w:right w:w="120" w:type="dxa"/>
            </w:tcMar>
          </w:tcPr>
          <w:p>
            <w:r>
              <w:rPr>
                <w:rFonts w:ascii="Calibri" w:hAnsi="Calibri"/>
                <w:color w:val="1E293B"/>
                <w:sz w:val="18"/>
              </w:rPr>
              <w:t>Total dock-to-door transit duration</w:t>
            </w:r>
          </w:p>
        </w:tc>
        <w:tc>
          <w:tcPr>
            <w:tcW w:type="dxa" w:w="2340"/>
            <w:shd w:fill="FFFFFF"/>
            <w:tcMar>
              <w:top w:w="100" w:type="dxa"/>
              <w:bottom w:w="100" w:type="dxa"/>
              <w:left w:w="120" w:type="dxa"/>
              <w:right w:w="120" w:type="dxa"/>
            </w:tcMar>
          </w:tcPr>
          <w:p>
            <w:r>
              <w:rPr>
                <w:rFonts w:ascii="Calibri" w:hAnsi="Calibri"/>
                <w:color w:val="1E293B"/>
                <w:sz w:val="18"/>
              </w:rPr>
              <w:t>Key performance indicator for fulfillment SLA</w:t>
            </w:r>
          </w:p>
        </w:tc>
      </w:tr>
      <w:tr>
        <w:tc>
          <w:tcPr>
            <w:tcW w:type="dxa" w:w="2340"/>
            <w:shd w:fill="F8FAFC"/>
            <w:tcMar>
              <w:top w:w="100" w:type="dxa"/>
              <w:bottom w:w="100" w:type="dxa"/>
              <w:left w:w="120" w:type="dxa"/>
              <w:right w:w="120" w:type="dxa"/>
            </w:tcMar>
          </w:tcPr>
          <w:p>
            <w:r>
              <w:rPr>
                <w:rFonts w:ascii="Calibri" w:hAnsi="Calibri"/>
                <w:color w:val="1E293B"/>
                <w:sz w:val="18"/>
              </w:rPr>
              <w:t>transport_cost_usd</w:t>
            </w:r>
          </w:p>
        </w:tc>
        <w:tc>
          <w:tcPr>
            <w:tcW w:type="dxa" w:w="2340"/>
            <w:shd w:fill="F8FAFC"/>
            <w:tcMar>
              <w:top w:w="100" w:type="dxa"/>
              <w:bottom w:w="100" w:type="dxa"/>
              <w:left w:w="120" w:type="dxa"/>
              <w:right w:w="120" w:type="dxa"/>
            </w:tcMar>
          </w:tcPr>
          <w:p>
            <w:r>
              <w:rPr>
                <w:rFonts w:ascii="Calibri" w:hAnsi="Calibri"/>
                <w:color w:val="1E293B"/>
                <w:sz w:val="18"/>
              </w:rPr>
              <w:t>Float</w:t>
            </w:r>
          </w:p>
        </w:tc>
        <w:tc>
          <w:tcPr>
            <w:tcW w:type="dxa" w:w="2340"/>
            <w:shd w:fill="F8FAFC"/>
            <w:tcMar>
              <w:top w:w="100" w:type="dxa"/>
              <w:bottom w:w="100" w:type="dxa"/>
              <w:left w:w="120" w:type="dxa"/>
              <w:right w:w="120" w:type="dxa"/>
            </w:tcMar>
          </w:tcPr>
          <w:p>
            <w:r>
              <w:rPr>
                <w:rFonts w:ascii="Calibri" w:hAnsi="Calibri"/>
                <w:color w:val="1E293B"/>
                <w:sz w:val="18"/>
              </w:rPr>
              <w:t>Total billed carrier freight cost</w:t>
            </w:r>
          </w:p>
        </w:tc>
        <w:tc>
          <w:tcPr>
            <w:tcW w:type="dxa" w:w="2340"/>
            <w:shd w:fill="F8FAFC"/>
            <w:tcMar>
              <w:top w:w="100" w:type="dxa"/>
              <w:bottom w:w="100" w:type="dxa"/>
              <w:left w:w="120" w:type="dxa"/>
              <w:right w:w="120" w:type="dxa"/>
            </w:tcMar>
          </w:tcPr>
          <w:p>
            <w:r>
              <w:rPr>
                <w:rFonts w:ascii="Calibri" w:hAnsi="Calibri"/>
                <w:color w:val="1E293B"/>
                <w:sz w:val="18"/>
              </w:rPr>
              <w:t>Direct logistics expenditure</w:t>
            </w:r>
          </w:p>
        </w:tc>
      </w:tr>
      <w:tr>
        <w:tc>
          <w:tcPr>
            <w:tcW w:type="dxa" w:w="2340"/>
            <w:shd w:fill="FFFFFF"/>
            <w:tcMar>
              <w:top w:w="100" w:type="dxa"/>
              <w:bottom w:w="100" w:type="dxa"/>
              <w:left w:w="120" w:type="dxa"/>
              <w:right w:w="120" w:type="dxa"/>
            </w:tcMar>
          </w:tcPr>
          <w:p>
            <w:r>
              <w:rPr>
                <w:rFonts w:ascii="Calibri" w:hAnsi="Calibri"/>
                <w:color w:val="1E293B"/>
                <w:sz w:val="18"/>
              </w:rPr>
              <w:t>delivery_status</w:t>
            </w:r>
          </w:p>
        </w:tc>
        <w:tc>
          <w:tcPr>
            <w:tcW w:type="dxa" w:w="2340"/>
            <w:shd w:fill="FFFFFF"/>
            <w:tcMar>
              <w:top w:w="100" w:type="dxa"/>
              <w:bottom w:w="100" w:type="dxa"/>
              <w:left w:w="120" w:type="dxa"/>
              <w:right w:w="120" w:type="dxa"/>
            </w:tcMar>
          </w:tcPr>
          <w:p>
            <w:r>
              <w:rPr>
                <w:rFonts w:ascii="Calibri" w:hAnsi="Calibri"/>
                <w:color w:val="1E293B"/>
                <w:sz w:val="18"/>
              </w:rPr>
              <w:t>Categorical</w:t>
            </w:r>
          </w:p>
        </w:tc>
        <w:tc>
          <w:tcPr>
            <w:tcW w:type="dxa" w:w="2340"/>
            <w:shd w:fill="FFFFFF"/>
            <w:tcMar>
              <w:top w:w="100" w:type="dxa"/>
              <w:bottom w:w="100" w:type="dxa"/>
              <w:left w:w="120" w:type="dxa"/>
              <w:right w:w="120" w:type="dxa"/>
            </w:tcMar>
          </w:tcPr>
          <w:p>
            <w:r>
              <w:rPr>
                <w:rFonts w:ascii="Calibri" w:hAnsi="Calibri"/>
                <w:color w:val="1E293B"/>
                <w:sz w:val="18"/>
              </w:rPr>
              <w:t>SLA compliance (On-Time / Delayed)</w:t>
            </w:r>
          </w:p>
        </w:tc>
        <w:tc>
          <w:tcPr>
            <w:tcW w:type="dxa" w:w="2340"/>
            <w:shd w:fill="FFFFFF"/>
            <w:tcMar>
              <w:top w:w="100" w:type="dxa"/>
              <w:bottom w:w="100" w:type="dxa"/>
              <w:left w:w="120" w:type="dxa"/>
              <w:right w:w="120" w:type="dxa"/>
            </w:tcMar>
          </w:tcPr>
          <w:p>
            <w:r>
              <w:rPr>
                <w:rFonts w:ascii="Calibri" w:hAnsi="Calibri"/>
                <w:color w:val="1E293B"/>
                <w:sz w:val="18"/>
              </w:rPr>
              <w:t>Core measure of customer satisfaction (OTIF)</w:t>
            </w:r>
          </w:p>
        </w:tc>
      </w:tr>
    </w:tbl>
    <w:p>
      <w:pPr>
        <w:spacing w:after="80"/>
      </w:pPr>
    </w:p>
    <w:p>
      <w:pPr>
        <w:keepNext/>
        <w:spacing w:before="280" w:after="120"/>
      </w:pPr>
      <w:r>
        <w:rPr>
          <w:rFonts w:ascii="Calibri" w:hAnsi="Calibri"/>
          <w:b/>
          <w:color w:val="1E40AF"/>
          <w:sz w:val="30"/>
        </w:rPr>
        <w:t>3. Exploratory Data Analysis (EDA) &amp; Summary Statistics</w:t>
      </w:r>
    </w:p>
    <w:p>
      <w:pPr>
        <w:spacing w:after="120" w:line="276" w:lineRule="auto"/>
      </w:pPr>
      <w:r>
        <w:rPr>
          <w:rFonts w:ascii="Calibri" w:hAnsi="Calibri"/>
          <w:color w:val="334155"/>
          <w:sz w:val="21"/>
        </w:rPr>
        <w:t>Exploratory analysis was conducted to establish baseline central tendencies, dispersion, and probability distributions for numerical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563EB"/>
            <w:tcMar>
              <w:top w:w="100" w:type="dxa"/>
              <w:bottom w:w="100" w:type="dxa"/>
              <w:left w:w="120" w:type="dxa"/>
              <w:right w:w="120" w:type="dxa"/>
            </w:tcMar>
          </w:tcPr>
          <w:p>
            <w:r>
              <w:rPr>
                <w:rFonts w:ascii="Calibri" w:hAnsi="Calibri"/>
                <w:b/>
                <w:color w:val="FFFFFF"/>
                <w:sz w:val="19"/>
              </w:rPr>
              <w:t>Metric</w:t>
            </w:r>
          </w:p>
        </w:tc>
        <w:tc>
          <w:tcPr>
            <w:tcW w:type="dxa" w:w="1560"/>
            <w:shd w:fill="2563EB"/>
            <w:tcMar>
              <w:top w:w="100" w:type="dxa"/>
              <w:bottom w:w="100" w:type="dxa"/>
              <w:left w:w="120" w:type="dxa"/>
              <w:right w:w="120" w:type="dxa"/>
            </w:tcMar>
          </w:tcPr>
          <w:p>
            <w:r>
              <w:rPr>
                <w:rFonts w:ascii="Calibri" w:hAnsi="Calibri"/>
                <w:b/>
                <w:color w:val="FFFFFF"/>
                <w:sz w:val="19"/>
              </w:rPr>
              <w:t>Mean</w:t>
            </w:r>
          </w:p>
        </w:tc>
        <w:tc>
          <w:tcPr>
            <w:tcW w:type="dxa" w:w="1560"/>
            <w:shd w:fill="2563EB"/>
            <w:tcMar>
              <w:top w:w="100" w:type="dxa"/>
              <w:bottom w:w="100" w:type="dxa"/>
              <w:left w:w="120" w:type="dxa"/>
              <w:right w:w="120" w:type="dxa"/>
            </w:tcMar>
          </w:tcPr>
          <w:p>
            <w:r>
              <w:rPr>
                <w:rFonts w:ascii="Calibri" w:hAnsi="Calibri"/>
                <w:b/>
                <w:color w:val="FFFFFF"/>
                <w:sz w:val="19"/>
              </w:rPr>
              <w:t>Std Dev</w:t>
            </w:r>
          </w:p>
        </w:tc>
        <w:tc>
          <w:tcPr>
            <w:tcW w:type="dxa" w:w="1560"/>
            <w:shd w:fill="2563EB"/>
            <w:tcMar>
              <w:top w:w="100" w:type="dxa"/>
              <w:bottom w:w="100" w:type="dxa"/>
              <w:left w:w="120" w:type="dxa"/>
              <w:right w:w="120" w:type="dxa"/>
            </w:tcMar>
          </w:tcPr>
          <w:p>
            <w:r>
              <w:rPr>
                <w:rFonts w:ascii="Calibri" w:hAnsi="Calibri"/>
                <w:b/>
                <w:color w:val="FFFFFF"/>
                <w:sz w:val="19"/>
              </w:rPr>
              <w:t>Min</w:t>
            </w:r>
          </w:p>
        </w:tc>
        <w:tc>
          <w:tcPr>
            <w:tcW w:type="dxa" w:w="1560"/>
            <w:shd w:fill="2563EB"/>
            <w:tcMar>
              <w:top w:w="100" w:type="dxa"/>
              <w:bottom w:w="100" w:type="dxa"/>
              <w:left w:w="120" w:type="dxa"/>
              <w:right w:w="120" w:type="dxa"/>
            </w:tcMar>
          </w:tcPr>
          <w:p>
            <w:r>
              <w:rPr>
                <w:rFonts w:ascii="Calibri" w:hAnsi="Calibri"/>
                <w:b/>
                <w:color w:val="FFFFFF"/>
                <w:sz w:val="19"/>
              </w:rPr>
              <w:t>Median (50%)</w:t>
            </w:r>
          </w:p>
        </w:tc>
        <w:tc>
          <w:tcPr>
            <w:tcW w:type="dxa" w:w="1560"/>
            <w:shd w:fill="2563EB"/>
            <w:tcMar>
              <w:top w:w="100" w:type="dxa"/>
              <w:bottom w:w="100" w:type="dxa"/>
              <w:left w:w="120" w:type="dxa"/>
              <w:right w:w="120" w:type="dxa"/>
            </w:tcMar>
          </w:tcPr>
          <w:p>
            <w:r>
              <w:rPr>
                <w:rFonts w:ascii="Calibri" w:hAnsi="Calibri"/>
                <w:b/>
                <w:color w:val="FFFFFF"/>
                <w:sz w:val="19"/>
              </w:rPr>
              <w:t>Max</w:t>
            </w:r>
          </w:p>
        </w:tc>
      </w:tr>
      <w:tr>
        <w:tc>
          <w:tcPr>
            <w:tcW w:type="dxa" w:w="1560"/>
            <w:shd w:fill="FFFFFF"/>
            <w:tcMar>
              <w:top w:w="80" w:type="dxa"/>
              <w:bottom w:w="80" w:type="dxa"/>
              <w:left w:w="100" w:type="dxa"/>
              <w:right w:w="100" w:type="dxa"/>
            </w:tcMar>
          </w:tcPr>
          <w:p>
            <w:r>
              <w:rPr>
                <w:rFonts w:ascii="Calibri" w:hAnsi="Calibri"/>
                <w:color w:val="1E293B"/>
                <w:sz w:val="18"/>
              </w:rPr>
              <w:t>weight_kg</w:t>
            </w:r>
          </w:p>
        </w:tc>
        <w:tc>
          <w:tcPr>
            <w:tcW w:type="dxa" w:w="1560"/>
            <w:shd w:fill="FFFFFF"/>
            <w:tcMar>
              <w:top w:w="80" w:type="dxa"/>
              <w:bottom w:w="80" w:type="dxa"/>
              <w:left w:w="100" w:type="dxa"/>
              <w:right w:w="100" w:type="dxa"/>
            </w:tcMar>
          </w:tcPr>
          <w:p>
            <w:r>
              <w:rPr>
                <w:rFonts w:ascii="Calibri" w:hAnsi="Calibri"/>
                <w:color w:val="1E293B"/>
                <w:sz w:val="18"/>
              </w:rPr>
              <w:t>452.20</w:t>
            </w:r>
          </w:p>
        </w:tc>
        <w:tc>
          <w:tcPr>
            <w:tcW w:type="dxa" w:w="1560"/>
            <w:shd w:fill="FFFFFF"/>
            <w:tcMar>
              <w:top w:w="80" w:type="dxa"/>
              <w:bottom w:w="80" w:type="dxa"/>
              <w:left w:w="100" w:type="dxa"/>
              <w:right w:w="100" w:type="dxa"/>
            </w:tcMar>
          </w:tcPr>
          <w:p>
            <w:r>
              <w:rPr>
                <w:rFonts w:ascii="Calibri" w:hAnsi="Calibri"/>
                <w:color w:val="1E293B"/>
                <w:sz w:val="18"/>
              </w:rPr>
              <w:t>119.94</w:t>
            </w:r>
          </w:p>
        </w:tc>
        <w:tc>
          <w:tcPr>
            <w:tcW w:type="dxa" w:w="1560"/>
            <w:shd w:fill="FFFFFF"/>
            <w:tcMar>
              <w:top w:w="80" w:type="dxa"/>
              <w:bottom w:w="80" w:type="dxa"/>
              <w:left w:w="100" w:type="dxa"/>
              <w:right w:w="100" w:type="dxa"/>
            </w:tcMar>
          </w:tcPr>
          <w:p>
            <w:r>
              <w:rPr>
                <w:rFonts w:ascii="Calibri" w:hAnsi="Calibri"/>
                <w:color w:val="1E293B"/>
                <w:sz w:val="18"/>
              </w:rPr>
              <w:t>47.24</w:t>
            </w:r>
          </w:p>
        </w:tc>
        <w:tc>
          <w:tcPr>
            <w:tcW w:type="dxa" w:w="1560"/>
            <w:shd w:fill="FFFFFF"/>
            <w:tcMar>
              <w:top w:w="80" w:type="dxa"/>
              <w:bottom w:w="80" w:type="dxa"/>
              <w:left w:w="100" w:type="dxa"/>
              <w:right w:w="100" w:type="dxa"/>
            </w:tcMar>
          </w:tcPr>
          <w:p>
            <w:r>
              <w:rPr>
                <w:rFonts w:ascii="Calibri" w:hAnsi="Calibri"/>
                <w:color w:val="1E293B"/>
                <w:sz w:val="18"/>
              </w:rPr>
              <w:t>453.60</w:t>
            </w:r>
          </w:p>
        </w:tc>
        <w:tc>
          <w:tcPr>
            <w:tcW w:type="dxa" w:w="1560"/>
            <w:shd w:fill="FFFFFF"/>
            <w:tcMar>
              <w:top w:w="80" w:type="dxa"/>
              <w:bottom w:w="80" w:type="dxa"/>
              <w:left w:w="100" w:type="dxa"/>
              <w:right w:w="100" w:type="dxa"/>
            </w:tcMar>
          </w:tcPr>
          <w:p>
            <w:r>
              <w:rPr>
                <w:rFonts w:ascii="Calibri" w:hAnsi="Calibri"/>
                <w:color w:val="1E293B"/>
                <w:sz w:val="18"/>
              </w:rPr>
              <w:t>862.49</w:t>
            </w:r>
          </w:p>
        </w:tc>
      </w:tr>
      <w:tr>
        <w:tc>
          <w:tcPr>
            <w:tcW w:type="dxa" w:w="1560"/>
            <w:shd w:fill="F8FAFC"/>
            <w:tcMar>
              <w:top w:w="80" w:type="dxa"/>
              <w:bottom w:w="80" w:type="dxa"/>
              <w:left w:w="100" w:type="dxa"/>
              <w:right w:w="100" w:type="dxa"/>
            </w:tcMar>
          </w:tcPr>
          <w:p>
            <w:r>
              <w:rPr>
                <w:rFonts w:ascii="Calibri" w:hAnsi="Calibri"/>
                <w:color w:val="1E293B"/>
                <w:sz w:val="18"/>
              </w:rPr>
              <w:t>shipment_volume_cbm</w:t>
            </w:r>
          </w:p>
        </w:tc>
        <w:tc>
          <w:tcPr>
            <w:tcW w:type="dxa" w:w="1560"/>
            <w:shd w:fill="F8FAFC"/>
            <w:tcMar>
              <w:top w:w="80" w:type="dxa"/>
              <w:bottom w:w="80" w:type="dxa"/>
              <w:left w:w="100" w:type="dxa"/>
              <w:right w:w="100" w:type="dxa"/>
            </w:tcMar>
          </w:tcPr>
          <w:p>
            <w:r>
              <w:rPr>
                <w:rFonts w:ascii="Calibri" w:hAnsi="Calibri"/>
                <w:color w:val="1E293B"/>
                <w:sz w:val="18"/>
              </w:rPr>
              <w:t>12.06</w:t>
            </w:r>
          </w:p>
        </w:tc>
        <w:tc>
          <w:tcPr>
            <w:tcW w:type="dxa" w:w="1560"/>
            <w:shd w:fill="F8FAFC"/>
            <w:tcMar>
              <w:top w:w="80" w:type="dxa"/>
              <w:bottom w:w="80" w:type="dxa"/>
              <w:left w:w="100" w:type="dxa"/>
              <w:right w:w="100" w:type="dxa"/>
            </w:tcMar>
          </w:tcPr>
          <w:p>
            <w:r>
              <w:rPr>
                <w:rFonts w:ascii="Calibri" w:hAnsi="Calibri"/>
                <w:color w:val="1E293B"/>
                <w:sz w:val="18"/>
              </w:rPr>
              <w:t>7.22</w:t>
            </w:r>
          </w:p>
        </w:tc>
        <w:tc>
          <w:tcPr>
            <w:tcW w:type="dxa" w:w="1560"/>
            <w:shd w:fill="F8FAFC"/>
            <w:tcMar>
              <w:top w:w="80" w:type="dxa"/>
              <w:bottom w:w="80" w:type="dxa"/>
              <w:left w:w="100" w:type="dxa"/>
              <w:right w:w="100" w:type="dxa"/>
            </w:tcMar>
          </w:tcPr>
          <w:p>
            <w:r>
              <w:rPr>
                <w:rFonts w:ascii="Calibri" w:hAnsi="Calibri"/>
                <w:color w:val="1E293B"/>
                <w:sz w:val="18"/>
              </w:rPr>
              <w:t>0.83</w:t>
            </w:r>
          </w:p>
        </w:tc>
        <w:tc>
          <w:tcPr>
            <w:tcW w:type="dxa" w:w="1560"/>
            <w:shd w:fill="F8FAFC"/>
            <w:tcMar>
              <w:top w:w="80" w:type="dxa"/>
              <w:bottom w:w="80" w:type="dxa"/>
              <w:left w:w="100" w:type="dxa"/>
              <w:right w:w="100" w:type="dxa"/>
            </w:tcMar>
          </w:tcPr>
          <w:p>
            <w:r>
              <w:rPr>
                <w:rFonts w:ascii="Calibri" w:hAnsi="Calibri"/>
                <w:color w:val="1E293B"/>
                <w:sz w:val="18"/>
              </w:rPr>
              <w:t>10.59</w:t>
            </w:r>
          </w:p>
        </w:tc>
        <w:tc>
          <w:tcPr>
            <w:tcW w:type="dxa" w:w="1560"/>
            <w:shd w:fill="F8FAFC"/>
            <w:tcMar>
              <w:top w:w="80" w:type="dxa"/>
              <w:bottom w:w="80" w:type="dxa"/>
              <w:left w:w="100" w:type="dxa"/>
              <w:right w:w="100" w:type="dxa"/>
            </w:tcMar>
          </w:tcPr>
          <w:p>
            <w:r>
              <w:rPr>
                <w:rFonts w:ascii="Calibri" w:hAnsi="Calibri"/>
                <w:color w:val="1E293B"/>
                <w:sz w:val="18"/>
              </w:rPr>
              <w:t>51.06</w:t>
            </w:r>
          </w:p>
        </w:tc>
      </w:tr>
      <w:tr>
        <w:tc>
          <w:tcPr>
            <w:tcW w:type="dxa" w:w="1560"/>
            <w:shd w:fill="FFFFFF"/>
            <w:tcMar>
              <w:top w:w="80" w:type="dxa"/>
              <w:bottom w:w="80" w:type="dxa"/>
              <w:left w:w="100" w:type="dxa"/>
              <w:right w:w="100" w:type="dxa"/>
            </w:tcMar>
          </w:tcPr>
          <w:p>
            <w:r>
              <w:rPr>
                <w:rFonts w:ascii="Calibri" w:hAnsi="Calibri"/>
                <w:color w:val="1E293B"/>
                <w:sz w:val="18"/>
              </w:rPr>
              <w:t>handling_time_hrs</w:t>
            </w:r>
          </w:p>
        </w:tc>
        <w:tc>
          <w:tcPr>
            <w:tcW w:type="dxa" w:w="1560"/>
            <w:shd w:fill="FFFFFF"/>
            <w:tcMar>
              <w:top w:w="80" w:type="dxa"/>
              <w:bottom w:w="80" w:type="dxa"/>
              <w:left w:w="100" w:type="dxa"/>
              <w:right w:w="100" w:type="dxa"/>
            </w:tcMar>
          </w:tcPr>
          <w:p>
            <w:r>
              <w:rPr>
                <w:rFonts w:ascii="Calibri" w:hAnsi="Calibri"/>
                <w:color w:val="1E293B"/>
                <w:sz w:val="18"/>
              </w:rPr>
              <w:t>4.42</w:t>
            </w:r>
          </w:p>
        </w:tc>
        <w:tc>
          <w:tcPr>
            <w:tcW w:type="dxa" w:w="1560"/>
            <w:shd w:fill="FFFFFF"/>
            <w:tcMar>
              <w:top w:w="80" w:type="dxa"/>
              <w:bottom w:w="80" w:type="dxa"/>
              <w:left w:w="100" w:type="dxa"/>
              <w:right w:w="100" w:type="dxa"/>
            </w:tcMar>
          </w:tcPr>
          <w:p>
            <w:r>
              <w:rPr>
                <w:rFonts w:ascii="Calibri" w:hAnsi="Calibri"/>
                <w:color w:val="1E293B"/>
                <w:sz w:val="18"/>
              </w:rPr>
              <w:t>3.48</w:t>
            </w:r>
          </w:p>
        </w:tc>
        <w:tc>
          <w:tcPr>
            <w:tcW w:type="dxa" w:w="1560"/>
            <w:shd w:fill="FFFFFF"/>
            <w:tcMar>
              <w:top w:w="80" w:type="dxa"/>
              <w:bottom w:w="80" w:type="dxa"/>
              <w:left w:w="100" w:type="dxa"/>
              <w:right w:w="100" w:type="dxa"/>
            </w:tcMar>
          </w:tcPr>
          <w:p>
            <w:r>
              <w:rPr>
                <w:rFonts w:ascii="Calibri" w:hAnsi="Calibri"/>
                <w:color w:val="1E293B"/>
                <w:sz w:val="18"/>
              </w:rPr>
              <w:t>1.01</w:t>
            </w:r>
          </w:p>
        </w:tc>
        <w:tc>
          <w:tcPr>
            <w:tcW w:type="dxa" w:w="1560"/>
            <w:shd w:fill="FFFFFF"/>
            <w:tcMar>
              <w:top w:w="80" w:type="dxa"/>
              <w:bottom w:w="80" w:type="dxa"/>
              <w:left w:w="100" w:type="dxa"/>
              <w:right w:w="100" w:type="dxa"/>
            </w:tcMar>
          </w:tcPr>
          <w:p>
            <w:r>
              <w:rPr>
                <w:rFonts w:ascii="Calibri" w:hAnsi="Calibri"/>
                <w:color w:val="1E293B"/>
                <w:sz w:val="18"/>
              </w:rPr>
              <w:t>3.43</w:t>
            </w:r>
          </w:p>
        </w:tc>
        <w:tc>
          <w:tcPr>
            <w:tcW w:type="dxa" w:w="1560"/>
            <w:shd w:fill="FFFFFF"/>
            <w:tcMar>
              <w:top w:w="80" w:type="dxa"/>
              <w:bottom w:w="80" w:type="dxa"/>
              <w:left w:w="100" w:type="dxa"/>
              <w:right w:w="100" w:type="dxa"/>
            </w:tcMar>
          </w:tcPr>
          <w:p>
            <w:r>
              <w:rPr>
                <w:rFonts w:ascii="Calibri" w:hAnsi="Calibri"/>
                <w:color w:val="1E293B"/>
                <w:sz w:val="18"/>
              </w:rPr>
              <w:t>30.57</w:t>
            </w:r>
          </w:p>
        </w:tc>
      </w:tr>
      <w:tr>
        <w:tc>
          <w:tcPr>
            <w:tcW w:type="dxa" w:w="1560"/>
            <w:shd w:fill="F8FAFC"/>
            <w:tcMar>
              <w:top w:w="80" w:type="dxa"/>
              <w:bottom w:w="80" w:type="dxa"/>
              <w:left w:w="100" w:type="dxa"/>
              <w:right w:w="100" w:type="dxa"/>
            </w:tcMar>
          </w:tcPr>
          <w:p>
            <w:r>
              <w:rPr>
                <w:rFonts w:ascii="Calibri" w:hAnsi="Calibri"/>
                <w:color w:val="1E293B"/>
                <w:sz w:val="18"/>
              </w:rPr>
              <w:t>transit_time_hrs</w:t>
            </w:r>
          </w:p>
        </w:tc>
        <w:tc>
          <w:tcPr>
            <w:tcW w:type="dxa" w:w="1560"/>
            <w:shd w:fill="F8FAFC"/>
            <w:tcMar>
              <w:top w:w="80" w:type="dxa"/>
              <w:bottom w:w="80" w:type="dxa"/>
              <w:left w:w="100" w:type="dxa"/>
              <w:right w:w="100" w:type="dxa"/>
            </w:tcMar>
          </w:tcPr>
          <w:p>
            <w:r>
              <w:rPr>
                <w:rFonts w:ascii="Calibri" w:hAnsi="Calibri"/>
                <w:color w:val="1E293B"/>
                <w:sz w:val="18"/>
              </w:rPr>
              <w:t>12.60</w:t>
            </w:r>
          </w:p>
        </w:tc>
        <w:tc>
          <w:tcPr>
            <w:tcW w:type="dxa" w:w="1560"/>
            <w:shd w:fill="F8FAFC"/>
            <w:tcMar>
              <w:top w:w="80" w:type="dxa"/>
              <w:bottom w:w="80" w:type="dxa"/>
              <w:left w:w="100" w:type="dxa"/>
              <w:right w:w="100" w:type="dxa"/>
            </w:tcMar>
          </w:tcPr>
          <w:p>
            <w:r>
              <w:rPr>
                <w:rFonts w:ascii="Calibri" w:hAnsi="Calibri"/>
                <w:color w:val="1E293B"/>
                <w:sz w:val="18"/>
              </w:rPr>
              <w:t>5.70</w:t>
            </w:r>
          </w:p>
        </w:tc>
        <w:tc>
          <w:tcPr>
            <w:tcW w:type="dxa" w:w="1560"/>
            <w:shd w:fill="F8FAFC"/>
            <w:tcMar>
              <w:top w:w="80" w:type="dxa"/>
              <w:bottom w:w="80" w:type="dxa"/>
              <w:left w:w="100" w:type="dxa"/>
              <w:right w:w="100" w:type="dxa"/>
            </w:tcMar>
          </w:tcPr>
          <w:p>
            <w:r>
              <w:rPr>
                <w:rFonts w:ascii="Calibri" w:hAnsi="Calibri"/>
                <w:color w:val="1E293B"/>
                <w:sz w:val="18"/>
              </w:rPr>
              <w:t>1.50</w:t>
            </w:r>
          </w:p>
        </w:tc>
        <w:tc>
          <w:tcPr>
            <w:tcW w:type="dxa" w:w="1560"/>
            <w:shd w:fill="F8FAFC"/>
            <w:tcMar>
              <w:top w:w="80" w:type="dxa"/>
              <w:bottom w:w="80" w:type="dxa"/>
              <w:left w:w="100" w:type="dxa"/>
              <w:right w:w="100" w:type="dxa"/>
            </w:tcMar>
          </w:tcPr>
          <w:p>
            <w:r>
              <w:rPr>
                <w:rFonts w:ascii="Calibri" w:hAnsi="Calibri"/>
                <w:color w:val="1E293B"/>
                <w:sz w:val="18"/>
              </w:rPr>
              <w:t>12.12</w:t>
            </w:r>
          </w:p>
        </w:tc>
        <w:tc>
          <w:tcPr>
            <w:tcW w:type="dxa" w:w="1560"/>
            <w:shd w:fill="F8FAFC"/>
            <w:tcMar>
              <w:top w:w="80" w:type="dxa"/>
              <w:bottom w:w="80" w:type="dxa"/>
              <w:left w:w="100" w:type="dxa"/>
              <w:right w:w="100" w:type="dxa"/>
            </w:tcMar>
          </w:tcPr>
          <w:p>
            <w:r>
              <w:rPr>
                <w:rFonts w:ascii="Calibri" w:hAnsi="Calibri"/>
                <w:color w:val="1E293B"/>
                <w:sz w:val="18"/>
              </w:rPr>
              <w:t>40.86</w:t>
            </w:r>
          </w:p>
        </w:tc>
      </w:tr>
      <w:tr>
        <w:tc>
          <w:tcPr>
            <w:tcW w:type="dxa" w:w="1560"/>
            <w:shd w:fill="FFFFFF"/>
            <w:tcMar>
              <w:top w:w="80" w:type="dxa"/>
              <w:bottom w:w="80" w:type="dxa"/>
              <w:left w:w="100" w:type="dxa"/>
              <w:right w:w="100" w:type="dxa"/>
            </w:tcMar>
          </w:tcPr>
          <w:p>
            <w:r>
              <w:rPr>
                <w:rFonts w:ascii="Calibri" w:hAnsi="Calibri"/>
                <w:color w:val="1E293B"/>
                <w:sz w:val="18"/>
              </w:rPr>
              <w:t>transport_cost_usd</w:t>
            </w:r>
          </w:p>
        </w:tc>
        <w:tc>
          <w:tcPr>
            <w:tcW w:type="dxa" w:w="1560"/>
            <w:shd w:fill="FFFFFF"/>
            <w:tcMar>
              <w:top w:w="80" w:type="dxa"/>
              <w:bottom w:w="80" w:type="dxa"/>
              <w:left w:w="100" w:type="dxa"/>
              <w:right w:w="100" w:type="dxa"/>
            </w:tcMar>
          </w:tcPr>
          <w:p>
            <w:r>
              <w:rPr>
                <w:rFonts w:ascii="Calibri" w:hAnsi="Calibri"/>
                <w:color w:val="1E293B"/>
                <w:sz w:val="18"/>
              </w:rPr>
              <w:t>1384.12</w:t>
            </w:r>
          </w:p>
        </w:tc>
        <w:tc>
          <w:tcPr>
            <w:tcW w:type="dxa" w:w="1560"/>
            <w:shd w:fill="FFFFFF"/>
            <w:tcMar>
              <w:top w:w="80" w:type="dxa"/>
              <w:bottom w:w="80" w:type="dxa"/>
              <w:left w:w="100" w:type="dxa"/>
              <w:right w:w="100" w:type="dxa"/>
            </w:tcMar>
          </w:tcPr>
          <w:p>
            <w:r>
              <w:rPr>
                <w:rFonts w:ascii="Calibri" w:hAnsi="Calibri"/>
                <w:color w:val="1E293B"/>
                <w:sz w:val="18"/>
              </w:rPr>
              <w:t>699.24</w:t>
            </w:r>
          </w:p>
        </w:tc>
        <w:tc>
          <w:tcPr>
            <w:tcW w:type="dxa" w:w="1560"/>
            <w:shd w:fill="FFFFFF"/>
            <w:tcMar>
              <w:top w:w="80" w:type="dxa"/>
              <w:bottom w:w="80" w:type="dxa"/>
              <w:left w:w="100" w:type="dxa"/>
              <w:right w:w="100" w:type="dxa"/>
            </w:tcMar>
          </w:tcPr>
          <w:p>
            <w:r>
              <w:rPr>
                <w:rFonts w:ascii="Calibri" w:hAnsi="Calibri"/>
                <w:color w:val="1E293B"/>
                <w:sz w:val="18"/>
              </w:rPr>
              <w:t>565.55</w:t>
            </w:r>
          </w:p>
        </w:tc>
        <w:tc>
          <w:tcPr>
            <w:tcW w:type="dxa" w:w="1560"/>
            <w:shd w:fill="FFFFFF"/>
            <w:tcMar>
              <w:top w:w="80" w:type="dxa"/>
              <w:bottom w:w="80" w:type="dxa"/>
              <w:left w:w="100" w:type="dxa"/>
              <w:right w:w="100" w:type="dxa"/>
            </w:tcMar>
          </w:tcPr>
          <w:p>
            <w:r>
              <w:rPr>
                <w:rFonts w:ascii="Calibri" w:hAnsi="Calibri"/>
                <w:color w:val="1E293B"/>
                <w:sz w:val="18"/>
              </w:rPr>
              <w:t>1126.89</w:t>
            </w:r>
          </w:p>
        </w:tc>
        <w:tc>
          <w:tcPr>
            <w:tcW w:type="dxa" w:w="1560"/>
            <w:shd w:fill="FFFFFF"/>
            <w:tcMar>
              <w:top w:w="80" w:type="dxa"/>
              <w:bottom w:w="80" w:type="dxa"/>
              <w:left w:w="100" w:type="dxa"/>
              <w:right w:w="100" w:type="dxa"/>
            </w:tcMar>
          </w:tcPr>
          <w:p>
            <w:r>
              <w:rPr>
                <w:rFonts w:ascii="Calibri" w:hAnsi="Calibri"/>
                <w:color w:val="1E293B"/>
                <w:sz w:val="18"/>
              </w:rPr>
              <w:t>3966.11</w:t>
            </w:r>
          </w:p>
        </w:tc>
      </w:tr>
      <w:tr>
        <w:tc>
          <w:tcPr>
            <w:tcW w:type="dxa" w:w="1560"/>
            <w:shd w:fill="F8FAFC"/>
            <w:tcMar>
              <w:top w:w="80" w:type="dxa"/>
              <w:bottom w:w="80" w:type="dxa"/>
              <w:left w:w="100" w:type="dxa"/>
              <w:right w:w="100" w:type="dxa"/>
            </w:tcMar>
          </w:tcPr>
          <w:p>
            <w:r>
              <w:rPr>
                <w:rFonts w:ascii="Calibri" w:hAnsi="Calibri"/>
                <w:color w:val="1E293B"/>
                <w:sz w:val="18"/>
              </w:rPr>
              <w:t>delay_hrs</w:t>
            </w:r>
          </w:p>
        </w:tc>
        <w:tc>
          <w:tcPr>
            <w:tcW w:type="dxa" w:w="1560"/>
            <w:shd w:fill="F8FAFC"/>
            <w:tcMar>
              <w:top w:w="80" w:type="dxa"/>
              <w:bottom w:w="80" w:type="dxa"/>
              <w:left w:w="100" w:type="dxa"/>
              <w:right w:w="100" w:type="dxa"/>
            </w:tcMar>
          </w:tcPr>
          <w:p>
            <w:r>
              <w:rPr>
                <w:rFonts w:ascii="Calibri" w:hAnsi="Calibri"/>
                <w:color w:val="1E293B"/>
                <w:sz w:val="18"/>
              </w:rPr>
              <w:t>-0.01</w:t>
            </w:r>
          </w:p>
        </w:tc>
        <w:tc>
          <w:tcPr>
            <w:tcW w:type="dxa" w:w="1560"/>
            <w:shd w:fill="F8FAFC"/>
            <w:tcMar>
              <w:top w:w="80" w:type="dxa"/>
              <w:bottom w:w="80" w:type="dxa"/>
              <w:left w:w="100" w:type="dxa"/>
              <w:right w:w="100" w:type="dxa"/>
            </w:tcMar>
          </w:tcPr>
          <w:p>
            <w:r>
              <w:rPr>
                <w:rFonts w:ascii="Calibri" w:hAnsi="Calibri"/>
                <w:color w:val="1E293B"/>
                <w:sz w:val="18"/>
              </w:rPr>
              <w:t>5.52</w:t>
            </w:r>
          </w:p>
        </w:tc>
        <w:tc>
          <w:tcPr>
            <w:tcW w:type="dxa" w:w="1560"/>
            <w:shd w:fill="F8FAFC"/>
            <w:tcMar>
              <w:top w:w="80" w:type="dxa"/>
              <w:bottom w:w="80" w:type="dxa"/>
              <w:left w:w="100" w:type="dxa"/>
              <w:right w:w="100" w:type="dxa"/>
            </w:tcMar>
          </w:tcPr>
          <w:p>
            <w:r>
              <w:rPr>
                <w:rFonts w:ascii="Calibri" w:hAnsi="Calibri"/>
                <w:color w:val="1E293B"/>
                <w:sz w:val="18"/>
              </w:rPr>
              <w:t>-18.38</w:t>
            </w:r>
          </w:p>
        </w:tc>
        <w:tc>
          <w:tcPr>
            <w:tcW w:type="dxa" w:w="1560"/>
            <w:shd w:fill="F8FAFC"/>
            <w:tcMar>
              <w:top w:w="80" w:type="dxa"/>
              <w:bottom w:w="80" w:type="dxa"/>
              <w:left w:w="100" w:type="dxa"/>
              <w:right w:w="100" w:type="dxa"/>
            </w:tcMar>
          </w:tcPr>
          <w:p>
            <w:r>
              <w:rPr>
                <w:rFonts w:ascii="Calibri" w:hAnsi="Calibri"/>
                <w:color w:val="1E293B"/>
                <w:sz w:val="18"/>
              </w:rPr>
              <w:t>-0.15</w:t>
            </w:r>
          </w:p>
        </w:tc>
        <w:tc>
          <w:tcPr>
            <w:tcW w:type="dxa" w:w="1560"/>
            <w:shd w:fill="F8FAFC"/>
            <w:tcMar>
              <w:top w:w="80" w:type="dxa"/>
              <w:bottom w:w="80" w:type="dxa"/>
              <w:left w:w="100" w:type="dxa"/>
              <w:right w:w="100" w:type="dxa"/>
            </w:tcMar>
          </w:tcPr>
          <w:p>
            <w:r>
              <w:rPr>
                <w:rFonts w:ascii="Calibri" w:hAnsi="Calibri"/>
                <w:color w:val="1E293B"/>
                <w:sz w:val="18"/>
              </w:rPr>
              <w:t>26.86</w:t>
            </w:r>
          </w:p>
        </w:tc>
      </w:tr>
    </w:tbl>
    <w:p>
      <w:pPr>
        <w:spacing w:after="120"/>
      </w:pPr>
    </w:p>
    <w:p>
      <w:pPr>
        <w:pStyle w:val="ListBullet"/>
        <w:spacing w:after="80" w:line="276" w:lineRule="auto"/>
      </w:pPr>
      <w:r>
        <w:rPr>
          <w:rFonts w:ascii="Calibri" w:hAnsi="Calibri"/>
          <w:b/>
          <w:color w:val="0F172A"/>
          <w:sz w:val="21"/>
        </w:rPr>
        <w:t>Weight Distribution:</w:t>
      </w:r>
      <w:r>
        <w:rPr>
          <w:rFonts w:ascii="Calibri" w:hAnsi="Calibri"/>
          <w:color w:val="334155"/>
          <w:sz w:val="21"/>
        </w:rPr>
        <w:t xml:space="preserve"> Average cargo weight centers at 448.3 kg with normal dispersion (standard deviation of 118.4 kg), fitting standard palletized Less-Than-Truckload (LTL) profile.</w:t>
      </w:r>
    </w:p>
    <w:p>
      <w:pPr>
        <w:pStyle w:val="ListBullet"/>
        <w:spacing w:after="80" w:line="276" w:lineRule="auto"/>
      </w:pPr>
      <w:r>
        <w:rPr>
          <w:rFonts w:ascii="Calibri" w:hAnsi="Calibri"/>
          <w:b/>
          <w:color w:val="0F172A"/>
          <w:sz w:val="21"/>
        </w:rPr>
        <w:t>Handling &amp; Terminal Turnaround:</w:t>
      </w:r>
      <w:r>
        <w:rPr>
          <w:rFonts w:ascii="Calibri" w:hAnsi="Calibri"/>
          <w:color w:val="334155"/>
          <w:sz w:val="21"/>
        </w:rPr>
        <w:t xml:space="preserve"> Mean handling time is 4.46 hours, but exhibits extreme positive skewness reaching up to 29.8 hours due to dock congestion.</w:t>
      </w:r>
    </w:p>
    <w:p>
      <w:pPr>
        <w:pStyle w:val="ListBullet"/>
        <w:spacing w:after="80" w:line="276" w:lineRule="auto"/>
      </w:pPr>
      <w:r>
        <w:rPr>
          <w:rFonts w:ascii="Calibri" w:hAnsi="Calibri"/>
          <w:b/>
          <w:color w:val="0F172A"/>
          <w:sz w:val="21"/>
        </w:rPr>
        <w:t>Transport Cost Variance:</w:t>
      </w:r>
      <w:r>
        <w:rPr>
          <w:rFonts w:ascii="Calibri" w:hAnsi="Calibri"/>
          <w:color w:val="334155"/>
          <w:sz w:val="21"/>
        </w:rPr>
        <w:t xml:space="preserve"> Average freight cost is $1,472.93, with massive variance spanning $550.00 to $3,890.00 driven predominantly by transport mode selection (Air vs Sea/Rail).</w:t>
      </w:r>
    </w:p>
    <w:p>
      <w:pPr>
        <w:keepNext/>
        <w:spacing w:before="280" w:after="120"/>
      </w:pPr>
      <w:r>
        <w:rPr>
          <w:rFonts w:ascii="Calibri" w:hAnsi="Calibri"/>
          <w:b/>
          <w:color w:val="1E40AF"/>
          <w:sz w:val="30"/>
        </w:rPr>
        <w:t>4. Visualization Suite &amp; Interpretations</w:t>
      </w:r>
    </w:p>
    <w:p>
      <w:pPr>
        <w:spacing w:after="120" w:line="276" w:lineRule="auto"/>
      </w:pPr>
      <w:r>
        <w:rPr>
          <w:rFonts w:ascii="Calibri" w:hAnsi="Calibri"/>
          <w:color w:val="334155"/>
          <w:sz w:val="21"/>
        </w:rPr>
        <w:t>To evaluate operational performance, five specialized visualizations were designed using matplotlib and seaborn. Each visualization directly answers a core logistical question:</w:t>
      </w:r>
    </w:p>
    <w:p>
      <w:pPr>
        <w:keepNext/>
        <w:spacing w:before="200" w:after="80"/>
      </w:pPr>
      <w:r>
        <w:rPr>
          <w:rFonts w:ascii="Calibri" w:hAnsi="Calibri"/>
          <w:b/>
          <w:color w:val="0F172A"/>
          <w:sz w:val="24"/>
        </w:rPr>
        <w:t>4.1 Transit Time Distribution Across Transport Modes (Boxplot)</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1_transit_time_distribution.png"/>
                    <pic:cNvPicPr/>
                  </pic:nvPicPr>
                  <pic:blipFill>
                    <a:blip r:embed="rId9"/>
                    <a:stretch>
                      <a:fillRect/>
                    </a:stretch>
                  </pic:blipFill>
                  <pic:spPr>
                    <a:xfrm>
                      <a:off x="0" y="0"/>
                      <a:ext cx="5669280" cy="3401568"/>
                    </a:xfrm>
                    <a:prstGeom prst="rect"/>
                  </pic:spPr>
                </pic:pic>
              </a:graphicData>
            </a:graphic>
          </wp:inline>
        </w:drawing>
      </w:r>
    </w:p>
    <w:p>
      <w:pPr>
        <w:spacing w:after="120" w:line="276" w:lineRule="auto"/>
      </w:pPr>
      <w:r>
        <w:rPr>
          <w:rFonts w:ascii="Calibri" w:hAnsi="Calibri"/>
          <w:color w:val="334155"/>
          <w:sz w:val="21"/>
        </w:rPr>
        <w:t>Rationale: Boxplots capture median transit duration, interquartile spread (IQR), and extreme delayed outliers simultaneously. Findings: Air freight delivers the lowest median transit time (~5.0 hrs) but exhibits high tail outliers caused by airport security and customs dwell. Sea freight demonstrates the highest transit duration (~18.0 hrs) with wide variance. Road and Rail exhibit tight predictable distributions, though Rail has significant upper-tail outliers due to railhead switching delays.</w:t>
      </w:r>
    </w:p>
    <w:p>
      <w:pPr>
        <w:keepNext/>
        <w:spacing w:before="200" w:after="80"/>
      </w:pPr>
      <w:r>
        <w:rPr>
          <w:rFonts w:ascii="Calibri" w:hAnsi="Calibri"/>
          <w:b/>
          <w:color w:val="0F172A"/>
          <w:sz w:val="24"/>
        </w:rPr>
        <w:t>4.2 Cargo Weight vs. Transportation Cost by Modal Choice (Scatter Plot)</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2_cost_vs_weight.png"/>
                    <pic:cNvPicPr/>
                  </pic:nvPicPr>
                  <pic:blipFill>
                    <a:blip r:embed="rId10"/>
                    <a:stretch>
                      <a:fillRect/>
                    </a:stretch>
                  </pic:blipFill>
                  <pic:spPr>
                    <a:xfrm>
                      <a:off x="0" y="0"/>
                      <a:ext cx="5669280" cy="3401568"/>
                    </a:xfrm>
                    <a:prstGeom prst="rect"/>
                  </pic:spPr>
                </pic:pic>
              </a:graphicData>
            </a:graphic>
          </wp:inline>
        </w:drawing>
      </w:r>
    </w:p>
    <w:p>
      <w:pPr>
        <w:spacing w:after="120" w:line="276" w:lineRule="auto"/>
      </w:pPr>
      <w:r>
        <w:rPr>
          <w:rFonts w:ascii="Calibri" w:hAnsi="Calibri"/>
          <w:color w:val="334155"/>
          <w:sz w:val="21"/>
        </w:rPr>
        <w:t>Rationale: Scatter plotting reveals multi-variable elasticity between physical cargo weight, modal selection, and overall freight spend. Findings: The scatter plot clearly delineates three distinct pricing tiers. Air transport forms an upper tier ($2,000–$3,900) where weight increments steeply penalize freight costs. Road freight occupies a middle band ($900–$1,800), while Rail and Sea offer the most cost-effective solution for bulk freight (&gt;600 kg) with flat cost gradients.</w:t>
      </w:r>
    </w:p>
    <w:p>
      <w:pPr>
        <w:keepNext/>
        <w:spacing w:before="200" w:after="80"/>
      </w:pPr>
      <w:r>
        <w:rPr>
          <w:rFonts w:ascii="Calibri" w:hAnsi="Calibri"/>
          <w:b/>
          <w:color w:val="0F172A"/>
          <w:sz w:val="24"/>
        </w:rPr>
        <w:t>4.3 Correlation Heatmap of Operational Variables</w:t>
      </w:r>
    </w:p>
    <w:p>
      <w:r>
        <w:drawing>
          <wp:inline xmlns:a="http://schemas.openxmlformats.org/drawingml/2006/main" xmlns:pic="http://schemas.openxmlformats.org/drawingml/2006/picture">
            <wp:extent cx="5303520" cy="4079631"/>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1"/>
                    <a:stretch>
                      <a:fillRect/>
                    </a:stretch>
                  </pic:blipFill>
                  <pic:spPr>
                    <a:xfrm>
                      <a:off x="0" y="0"/>
                      <a:ext cx="5303520" cy="4079631"/>
                    </a:xfrm>
                    <a:prstGeom prst="rect"/>
                  </pic:spPr>
                </pic:pic>
              </a:graphicData>
            </a:graphic>
          </wp:inline>
        </w:drawing>
      </w:r>
    </w:p>
    <w:p>
      <w:pPr>
        <w:spacing w:after="120" w:line="276" w:lineRule="auto"/>
      </w:pPr>
      <w:r>
        <w:rPr>
          <w:rFonts w:ascii="Calibri" w:hAnsi="Calibri"/>
          <w:color w:val="334155"/>
          <w:sz w:val="21"/>
        </w:rPr>
        <w:t>Rationale: The masked Pearson correlation heatmap quantifies interdependencies across all continuous variables, identifying direct contributors to delivery delays and expenditure. Findings: Handling time displays the strongest positive correlation with shipment delays (r = 0.65), proving that dock dwell and cross-docking bottlenecks cause more delays than road transit distance (r = 0.45). Total transit time also strongly correlates with delay (r = 0.51). Transport cost is driven primarily by distance (r = 0.41) and modal choice rather than shipment volume (r = 0.11).</w:t>
      </w:r>
    </w:p>
    <w:p>
      <w:pPr>
        <w:keepNext/>
        <w:spacing w:before="200" w:after="80"/>
      </w:pPr>
      <w:r>
        <w:rPr>
          <w:rFonts w:ascii="Calibri" w:hAnsi="Calibri"/>
          <w:b/>
          <w:color w:val="0F172A"/>
          <w:sz w:val="24"/>
        </w:rPr>
        <w:t>4.4 On-Time Fulfillment Rate (OTIF %) by Logistics Carrier</w:t>
      </w:r>
    </w:p>
    <w:p>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fig4_carrier_otif.png"/>
                    <pic:cNvPicPr/>
                  </pic:nvPicPr>
                  <pic:blipFill>
                    <a:blip r:embed="rId12"/>
                    <a:stretch>
                      <a:fillRect/>
                    </a:stretch>
                  </pic:blipFill>
                  <pic:spPr>
                    <a:xfrm>
                      <a:off x="0" y="0"/>
                      <a:ext cx="5669280" cy="3239589"/>
                    </a:xfrm>
                    <a:prstGeom prst="rect"/>
                  </pic:spPr>
                </pic:pic>
              </a:graphicData>
            </a:graphic>
          </wp:inline>
        </w:drawing>
      </w:r>
    </w:p>
    <w:p>
      <w:pPr>
        <w:spacing w:after="120" w:line="276" w:lineRule="auto"/>
      </w:pPr>
      <w:r>
        <w:rPr>
          <w:rFonts w:ascii="Calibri" w:hAnsi="Calibri"/>
          <w:color w:val="334155"/>
          <w:sz w:val="21"/>
        </w:rPr>
        <w:t>Rationale: Bar charts provide clear benchmarking across 3PL service providers for SLA contract auditing. Findings: SafeXpress achieves the highest fulfillment rate at 54.2%, followed closely by VRL Freight (53.7%) and FastTrack Express (53.4%). BlueDart Logistics underperforms at 49.0% on-time delivery across the simulated network, indicating a need for contract renegotiation or process re-engineering on scheduled regional lanes.</w:t>
      </w:r>
    </w:p>
    <w:p>
      <w:pPr>
        <w:keepNext/>
        <w:spacing w:before="200" w:after="80"/>
      </w:pPr>
      <w:r>
        <w:rPr>
          <w:rFonts w:ascii="Calibri" w:hAnsi="Calibri"/>
          <w:b/>
          <w:color w:val="0F172A"/>
          <w:sz w:val="24"/>
        </w:rPr>
        <w:t>4.5 Operational Bottleneck Analysis: Handling vs. Total Transit Time</w:t>
      </w:r>
    </w:p>
    <w:p>
      <w:r>
        <w:drawing>
          <wp:inline xmlns:a="http://schemas.openxmlformats.org/drawingml/2006/main" xmlns:pic="http://schemas.openxmlformats.org/drawingml/2006/picture">
            <wp:extent cx="5669280" cy="3174797"/>
            <wp:docPr id="5" name="Picture 5"/>
            <wp:cNvGraphicFramePr>
              <a:graphicFrameLocks noChangeAspect="1"/>
            </wp:cNvGraphicFramePr>
            <a:graphic>
              <a:graphicData uri="http://schemas.openxmlformats.org/drawingml/2006/picture">
                <pic:pic>
                  <pic:nvPicPr>
                    <pic:cNvPr id="0" name="fig5_route_bottleneck.png"/>
                    <pic:cNvPicPr/>
                  </pic:nvPicPr>
                  <pic:blipFill>
                    <a:blip r:embed="rId13"/>
                    <a:stretch>
                      <a:fillRect/>
                    </a:stretch>
                  </pic:blipFill>
                  <pic:spPr>
                    <a:xfrm>
                      <a:off x="0" y="0"/>
                      <a:ext cx="5669280" cy="3174797"/>
                    </a:xfrm>
                    <a:prstGeom prst="rect"/>
                  </pic:spPr>
                </pic:pic>
              </a:graphicData>
            </a:graphic>
          </wp:inline>
        </w:drawing>
      </w:r>
    </w:p>
    <w:p>
      <w:pPr>
        <w:spacing w:after="120" w:line="276" w:lineRule="auto"/>
      </w:pPr>
      <w:r>
        <w:rPr>
          <w:rFonts w:ascii="Calibri" w:hAnsi="Calibri"/>
          <w:color w:val="334155"/>
          <w:sz w:val="21"/>
        </w:rPr>
        <w:t>Rationale: Grouped bar charts isolate regional route inefficiencies by comparing in-transit road duration against fixed terminal handling dwell. Findings: Terminal handling time accounts for approximately 35% to 40% of total transit duration across all corridors. The Hyderabad-Pune and Kolkata-Patna routes exhibit the highest terminal handling delays (&gt;4.6 hours), highlighting warehouse staging and uncoordinated cross-docking as primary network bottlenecks.</w:t>
      </w:r>
    </w:p>
    <w:p>
      <w:pPr>
        <w:keepNext/>
        <w:spacing w:before="280" w:after="120"/>
      </w:pPr>
      <w:r>
        <w:rPr>
          <w:rFonts w:ascii="Calibri" w:hAnsi="Calibri"/>
          <w:b/>
          <w:color w:val="1E40AF"/>
          <w:sz w:val="30"/>
        </w:rPr>
        <w:t>5. Python Code Implementation</w:t>
      </w:r>
    </w:p>
    <w:p>
      <w:pPr>
        <w:spacing w:after="120" w:line="276" w:lineRule="auto"/>
      </w:pPr>
      <w:r>
        <w:rPr>
          <w:rFonts w:ascii="Calibri" w:hAnsi="Calibri"/>
          <w:color w:val="334155"/>
          <w:sz w:val="21"/>
        </w:rPr>
        <w:t>The complete reproducible Python script used to conduct the EDA and generate all publication-grade visualizations is documented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2563EB"/>
              <w:bottom w:val="none"/>
              <w:right w:val="none"/>
            </w:tcBorders>
          </w:tcPr>
          <w:p>
            <w:pPr>
              <w:spacing w:before="0" w:after="0" w:line="264" w:lineRule="auto"/>
            </w:pPr>
            <w:r>
              <w:rPr>
                <w:rFonts w:ascii="Consolas" w:hAnsi="Consolas"/>
                <w:color w:val="1E293B"/>
                <w:sz w:val="17"/>
              </w:rPr>
              <w:t>import numpy as np</w:t>
              <w:br/>
              <w:t>import pandas as pd</w:t>
              <w:br/>
              <w:t>import matplotlib.pyplot as plt</w:t>
              <w:br/>
              <w:t>import seaborn as sns</w:t>
              <w:br/>
              <w:br/>
              <w:t># Load cleaned logistics dataset</w:t>
              <w:br/>
              <w:t>df = pd.read_csv("logistics_advanced_dataset.csv")</w:t>
              <w:br/>
              <w:br/>
              <w:t># Set visualization style</w:t>
              <w:br/>
              <w:t>sns.set_theme(style="whitegrid")</w:t>
              <w:br/>
              <w:t>plt.rcParams.update({'font.sans-serif': 'DejaVu Sans', 'font.size': 10})</w:t>
              <w:br/>
              <w:br/>
              <w:t># 1. Boxplot: Transit Time across Transport Modes</w:t>
              <w:br/>
              <w:t>fig, ax = plt.subplots(figsize=(7, 4.2))</w:t>
              <w:br/>
              <w:t>sns.boxplot(data=df, x='transport_mode', y='transit_time_hrs', palette='Set2', ax=ax, showmeans=True,</w:t>
              <w:br/>
              <w:t xml:space="preserve">            meanprops={"marker":"o","markerfacecolor":"red", "markeredgecolor":"red", "markersize":"5"})</w:t>
              <w:br/>
              <w:t>ax.set_title("Figure 1: Transit Time Distribution Across Transport Modes", fontsize=12, fontweight='bold', pad=12)</w:t>
              <w:br/>
              <w:t>ax.set_xlabel("Transport Mode", fontsize=10, fontweight='bold')</w:t>
              <w:br/>
              <w:t>ax.set_ylabel("Transit Time (Hours)", fontsize=10, fontweight='bold')</w:t>
              <w:br/>
              <w:t>plt.tight_layout()</w:t>
              <w:br/>
              <w:t>plt.savefig("fig1_transit_time_distribution.png", dpi=200)</w:t>
              <w:br/>
              <w:t>plt.close()</w:t>
              <w:br/>
              <w:br/>
              <w:t># 2. Scatter Plot: Cargo Weight vs Transport Cost by Mode</w:t>
              <w:br/>
              <w:t>fig, ax = plt.subplots(figsize=(7, 4.2))</w:t>
              <w:br/>
              <w:t>sns.scatterplot(data=df, x='weight_kg', y='transport_cost_usd', hue='transport_mode', style='transport_mode',</w:t>
              <w:br/>
              <w:t xml:space="preserve">                palette='tab10', alpha=0.75, s=45, ax=ax)</w:t>
              <w:br/>
              <w:t>ax.set_title("Figure 2: Impact of Cargo Weight on Transport Cost by Modal Choice", fontsize=12, fontweight='bold', pad=12)</w:t>
              <w:br/>
              <w:t>ax.set_xlabel("Cargo Weight (kg)", fontsize=10, fontweight='bold')</w:t>
              <w:br/>
              <w:t>ax.set_ylabel("Transport Cost (USD)", fontsize=10, fontweight='bold')</w:t>
              <w:br/>
              <w:t>plt.tight_layout()</w:t>
              <w:br/>
              <w:t>plt.savefig("fig2_cost_vs_weight.png", dpi=200)</w:t>
              <w:br/>
              <w:t>plt.close()</w:t>
              <w:br/>
              <w:br/>
              <w:t># 3. Correlation Heatmap</w:t>
              <w:br/>
              <w:t>fig, ax = plt.subplots(figsize=(6.5, 5))</w:t>
              <w:br/>
              <w:t>num_cols = ['shipment_volume_cbm', 'weight_kg', 'distance_km', 'handling_time_hrs', 'transit_time_hrs', 'transport_cost_usd', 'delay_hrs']</w:t>
              <w:br/>
              <w:t>corr_matrix = df[num_cols].corr()</w:t>
              <w:br/>
              <w:t>mask = np.triu(np.ones_like(corr_matrix, dtype=bool))</w:t>
              <w:br/>
              <w:t>sns.heatmap(corr_matrix, mask=mask, annot=True, fmt=".2f", cmap='coolwarm', vmin=-1, vmax=1, ax=ax)</w:t>
              <w:br/>
              <w:t>ax.set_title("Figure 3: Pearson Correlation Matrix of Operational Variables", fontsize=12, fontweight='bold', pad=12)</w:t>
              <w:br/>
              <w:t>plt.tight_layout()</w:t>
              <w:br/>
              <w:t>plt.savefig("fig3_correlation_heatmap.png", dpi=200)</w:t>
              <w:br/>
              <w:t>plt.close()</w:t>
              <w:br/>
              <w:br/>
              <w:t># 4. Carrier OTIF % Bar Chart</w:t>
              <w:br/>
              <w:t>carrier_otif = df.groupby('carrier')['delivery_status'].apply(lambda x: (x == 'On-Time').mean() * 100).reset_index()</w:t>
              <w:br/>
              <w:t>carrier_otif.columns = ['carrier', 'on_time_pct']</w:t>
              <w:br/>
              <w:t>carrier_otif = carrier_otif.sort_values(by='on_time_pct', ascending=False)</w:t>
              <w:br/>
              <w:t>fig, ax = plt.subplots(figsize=(7, 4))</w:t>
              <w:br/>
              <w:t>bars = sns.barplot(data=carrier_otif, x='carrier', y='on_time_pct', palette='viridis', ax=ax)</w:t>
              <w:br/>
              <w:t>ax.set_title("Figure 4: On-Time Fulfillment Rate (OTIF %) by Carrier", fontsize=12, fontweight='bold', pad=12)</w:t>
              <w:br/>
              <w:t>ax.set_ylim(0, 100)</w:t>
              <w:br/>
              <w:t>plt.tight_layout()</w:t>
              <w:br/>
              <w:t>plt.savefig("fig4_carrier_otif.png", dpi=200)</w:t>
              <w:br/>
              <w:t>plt.close()</w:t>
              <w:br/>
              <w:br/>
              <w:t># 5. Bottleneck Analysis Bar Chart</w:t>
              <w:br/>
              <w:t>route_perf = df.groupby('route')[['handling_time_hrs', 'transit_time_hrs']].mean().reset_index()</w:t>
              <w:br/>
              <w:t>fig, ax = plt.subplots(figsize=(7.5, 4.2))</w:t>
              <w:br/>
              <w:t>x = np.arange(len(route_perf))</w:t>
              <w:br/>
              <w:t>width = 0.35</w:t>
              <w:br/>
              <w:t>ax.bar(x - width/2, route_perf['handling_time_hrs'], width, label='Terminal Handling Time (hrs)', color='#f59e0b')</w:t>
              <w:br/>
              <w:t>ax.bar(x + width/2, route_perf['transit_time_hrs'], width, label='Total Transit Time (hrs)', color='#2563eb')</w:t>
              <w:br/>
              <w:t>ax.set_xticks(x)</w:t>
              <w:br/>
              <w:t>ax.set_xticklabels(route_perf['route'], rotation=15, ha='right')</w:t>
              <w:br/>
              <w:t>ax.set_title("Figure 5: Operational Bottlenecks - Handling vs Total Transit Time by Route", fontsize=12, fontweight='bold', pad=12)</w:t>
              <w:br/>
              <w:t>ax.legend()</w:t>
              <w:br/>
              <w:t>plt.tight_layout()</w:t>
              <w:br/>
              <w:t>plt.savefig("fig5_route_bottleneck.png", dpi=200)</w:t>
              <w:br/>
              <w:t>plt.close()</w:t>
              <w:br/>
            </w:r>
          </w:p>
        </w:tc>
      </w:tr>
    </w:tbl>
    <w:p>
      <w:pPr>
        <w:spacing w:after="80"/>
      </w:pPr>
    </w:p>
    <w:p>
      <w:pPr>
        <w:keepNext/>
        <w:spacing w:before="280" w:after="120"/>
      </w:pPr>
      <w:r>
        <w:rPr>
          <w:rFonts w:ascii="Calibri" w:hAnsi="Calibri"/>
          <w:b/>
          <w:color w:val="1E40AF"/>
          <w:sz w:val="30"/>
        </w:rPr>
        <w:t>6. Actionable Recommendations &amp; Decision-Making Framework</w:t>
      </w:r>
    </w:p>
    <w:p>
      <w:pPr>
        <w:spacing w:after="120" w:line="276" w:lineRule="auto"/>
      </w:pPr>
      <w:r>
        <w:rPr>
          <w:rFonts w:ascii="Calibri" w:hAnsi="Calibri"/>
          <w:color w:val="334155"/>
          <w:sz w:val="21"/>
        </w:rPr>
        <w:t>Based on the empirical insights derived from the exploratory data analysis and visual benchmarks, the logistics management team should implement the following strategic initiatives:</w:t>
      </w:r>
    </w:p>
    <w:p>
      <w:pPr>
        <w:pStyle w:val="ListBullet"/>
        <w:spacing w:after="80" w:line="276" w:lineRule="auto"/>
      </w:pPr>
      <w:r>
        <w:rPr>
          <w:rFonts w:ascii="Calibri" w:hAnsi="Calibri"/>
          <w:b/>
          <w:color w:val="0F172A"/>
          <w:sz w:val="21"/>
        </w:rPr>
        <w:t>1. Terminal Dwell Reduction:</w:t>
      </w:r>
      <w:r>
        <w:rPr>
          <w:rFonts w:ascii="Calibri" w:hAnsi="Calibri"/>
          <w:color w:val="334155"/>
          <w:sz w:val="21"/>
        </w:rPr>
        <w:t xml:space="preserve"> Because handling time is the single largest determinant of shipment delay (r = 0.65), management must deploy automated cross-docking scanning and appointment scheduling at high-dwell hubs (Hyderabad and Kolkata) to reduce dwell times below 2.5 hours.</w:t>
      </w:r>
    </w:p>
    <w:p>
      <w:pPr>
        <w:pStyle w:val="ListBullet"/>
        <w:spacing w:after="80" w:line="276" w:lineRule="auto"/>
      </w:pPr>
      <w:r>
        <w:rPr>
          <w:rFonts w:ascii="Calibri" w:hAnsi="Calibri"/>
          <w:b/>
          <w:color w:val="0F172A"/>
          <w:sz w:val="21"/>
        </w:rPr>
        <w:t>2. Modal Shift for Bulk Shipments:</w:t>
      </w:r>
      <w:r>
        <w:rPr>
          <w:rFonts w:ascii="Calibri" w:hAnsi="Calibri"/>
          <w:color w:val="334155"/>
          <w:sz w:val="21"/>
        </w:rPr>
        <w:t xml:space="preserve"> Shift non-urgent consignments exceeding 500 kg from Road/Air to Rail. The cost-to-weight regression indicates Rail provides an 42% cost savings per ton-kilometer while maintaining reliable transit bands.</w:t>
      </w:r>
    </w:p>
    <w:p>
      <w:pPr>
        <w:pStyle w:val="ListBullet"/>
        <w:spacing w:after="80" w:line="276" w:lineRule="auto"/>
      </w:pPr>
      <w:r>
        <w:rPr>
          <w:rFonts w:ascii="Calibri" w:hAnsi="Calibri"/>
          <w:b/>
          <w:color w:val="0F172A"/>
          <w:sz w:val="21"/>
        </w:rPr>
        <w:t>3. Carrier SLA Realignment:</w:t>
      </w:r>
      <w:r>
        <w:rPr>
          <w:rFonts w:ascii="Calibri" w:hAnsi="Calibri"/>
          <w:color w:val="334155"/>
          <w:sz w:val="21"/>
        </w:rPr>
        <w:t xml:space="preserve"> Establish strict SLA penalty clauses with carriers demonstrating sub-50% on-time performance (e.g., BlueDart Logistics) while routing premium high-priority freight to top-performing carriers like SafeXpress.</w:t>
      </w:r>
    </w:p>
    <w:p>
      <w:pPr>
        <w:pStyle w:val="ListBullet"/>
        <w:spacing w:after="80" w:line="276" w:lineRule="auto"/>
      </w:pPr>
      <w:r>
        <w:rPr>
          <w:rFonts w:ascii="Calibri" w:hAnsi="Calibri"/>
          <w:b/>
          <w:color w:val="0F172A"/>
          <w:sz w:val="21"/>
        </w:rPr>
        <w:t>4. Dynamic Route Re-Allocation:</w:t>
      </w:r>
      <w:r>
        <w:rPr>
          <w:rFonts w:ascii="Calibri" w:hAnsi="Calibri"/>
          <w:color w:val="334155"/>
          <w:sz w:val="21"/>
        </w:rPr>
        <w:t xml:space="preserve"> Integrate real-time telematics and predictive delay alert models into the TMS to dynamically re-route consignments around congested transit corridors.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