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Unconsidered Metrics Analysis</w:t>
      </w:r>
    </w:p>
    <w:p>
      <w:r>
        <w:t>CariSurg MedTech Pathways | Week 0 Assignment 5</w:t>
      </w:r>
    </w:p>
    <w:p/>
    <w:p>
      <w:pPr>
        <w:pStyle w:val="Heading1"/>
      </w:pPr>
      <w:r>
        <w:t>Overview</w:t>
      </w:r>
    </w:p>
    <w:p>
      <w:r>
        <w:t>This document analyzes vital signs and metrics that were not included in the primary data cleaning and visualization assignments, but could provide additional clinical insights for emergency department triaging.</w:t>
      </w:r>
    </w:p>
    <w:p>
      <w:pPr>
        <w:pStyle w:val="Heading1"/>
      </w:pPr>
      <w:r>
        <w:t>Metrics Not Analyzed</w:t>
      </w:r>
    </w:p>
    <w:p>
      <w:pPr>
        <w:pStyle w:val="Heading2"/>
      </w:pPr>
      <w:r>
        <w:t>Systolic Blood Pressure (SBP)</w:t>
      </w:r>
    </w:p>
    <w:p>
      <w:r>
        <w:t>The peak arterial pressure during ventricular contraction. Critical for identifying hypertension and hypotension. Normal range: 90-120 mmHg.</w:t>
      </w:r>
    </w:p>
    <w:p>
      <w:pPr>
        <w:pStyle w:val="Heading2"/>
      </w:pPr>
      <w:r>
        <w:t>Diastolic Blood Pressure (DBP)</w:t>
      </w:r>
    </w:p>
    <w:p>
      <w:r>
        <w:t>The minimum arterial pressure between beats. Important for vascular health assessment. Normal range: 60-80 mmHg.</w:t>
      </w:r>
    </w:p>
    <w:p>
      <w:pPr>
        <w:pStyle w:val="Heading2"/>
      </w:pPr>
      <w:r>
        <w:t>Respiratory Rate</w:t>
      </w:r>
    </w:p>
    <w:p>
      <w:r>
        <w:t>The number of breaths per minute. Critical for respiratory distress assessment. Normal range: 12-20 breaths/min.</w:t>
      </w:r>
    </w:p>
    <w:p>
      <w:pPr>
        <w:pStyle w:val="Heading2"/>
      </w:pPr>
      <w:r>
        <w:t>Temperature</w:t>
      </w:r>
    </w:p>
    <w:p>
      <w:r>
        <w:t>Body temperature for fever/hypothermia detection. Normal range: 36.1-37.2°C.</w:t>
      </w:r>
    </w:p>
    <w:p>
      <w:pPr>
        <w:pStyle w:val="Heading2"/>
      </w:pPr>
      <w:r>
        <w:t>Oxygen Saturation (SpO2)</w:t>
      </w:r>
    </w:p>
    <w:p>
      <w:r>
        <w:t>Blood oxygen levels. Essential for respiratory function. Normal range: 95-100%.</w:t>
      </w:r>
    </w:p>
    <w:p>
      <w:pPr>
        <w:pStyle w:val="Heading2"/>
      </w:pPr>
      <w:r>
        <w:t>Pain Score</w:t>
      </w:r>
    </w:p>
    <w:p>
      <w:r>
        <w:t>Patient-reported pain level on 0-10 scale. Important for triage prioritization.</w:t>
      </w:r>
    </w:p>
    <w:p>
      <w:pPr>
        <w:pStyle w:val="Heading2"/>
      </w:pPr>
      <w:r>
        <w:t>Level of Consciousness</w:t>
      </w:r>
    </w:p>
    <w:p>
      <w:r>
        <w:t>Mental status assessment (AVPU scale: Alert, Verbal, Pain, Unresponsive).</w:t>
      </w:r>
    </w:p>
    <w:p>
      <w:pPr>
        <w:pStyle w:val="Heading1"/>
      </w:pPr>
      <w:r>
        <w:t>Recommendations for Future Analysis</w:t>
      </w:r>
    </w:p>
    <w:p>
      <w:r>
        <w:t>1. Analyze correlations between vital signs (e.g., pulse and temperature)</w:t>
      </w:r>
    </w:p>
    <w:p>
      <w:r>
        <w:t>2. Age-stratified analysis for pediatric vs adult patients</w:t>
      </w:r>
    </w:p>
    <w:p>
      <w:r>
        <w:t>3. Time-based patterns (arrival time, day of week)</w:t>
      </w:r>
    </w:p>
    <w:p>
      <w:r>
        <w:t>4. Outcome correlation with vital sign abnormalities</w:t>
      </w:r>
    </w:p>
    <w:p>
      <w:r>
        <w:t>5. Diagnosis-specific vital sign patterns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