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ORGANIZATION CONTRACT MANAGEMENT POLICY (INTERNAL)</w:t>
      </w:r>
    </w:p>
    <w:p/>
    <w:p>
      <w:pPr>
        <w:spacing w:after="100"/>
      </w:pPr>
      <w:r>
        <w:rPr>
          <w:b w:val="false"/>
          <w:bCs w:val="false"/>
        </w:rPr>
        <w:t xml:space="preserve">This internal policy describes how business owners at Northwind Analytics manage vendor contracts. It is guidance for staff only and is not a contract.</w:t>
      </w:r>
    </w:p>
    <w:p/>
    <w:p>
      <w:pPr>
        <w:spacing w:after="100"/>
      </w:pPr>
      <w:r>
        <w:rPr>
          <w:b w:val="false"/>
          <w:bCs w:val="false"/>
        </w:rPr>
        <w:t xml:space="preserve">1. Renewal Reviews</w:t>
      </w:r>
    </w:p>
    <w:p>
      <w:pPr>
        <w:spacing w:after="100"/>
      </w:pPr>
      <w:r>
        <w:rPr>
          <w:b w:val="false"/>
          <w:bCs w:val="false"/>
        </w:rPr>
        <w:t xml:space="preserve">1.1 Business owners should begin renewal review ninety (90) days before the expiry of a vendor contract.</w:t>
      </w:r>
    </w:p>
    <w:p>
      <w:pPr>
        <w:spacing w:after="100"/>
      </w:pPr>
      <w:r>
        <w:rPr>
          <w:b w:val="false"/>
          <w:bCs w:val="false"/>
        </w:rPr>
        <w:t xml:space="preserve">1.2 Finance should be consulted before any renewal decision for vendor contracts above USD 100,000 per year.</w:t>
      </w:r>
    </w:p>
    <w:p/>
    <w:p>
      <w:pPr>
        <w:spacing w:after="100"/>
      </w:pPr>
      <w:r>
        <w:rPr>
          <w:b w:val="false"/>
          <w:bCs w:val="false"/>
        </w:rPr>
        <w:t xml:space="preserve">2. Reporting</w:t>
      </w:r>
    </w:p>
    <w:p>
      <w:pPr>
        <w:spacing w:after="100"/>
      </w:pPr>
      <w:r>
        <w:rPr>
          <w:b w:val="false"/>
          <w:bCs w:val="false"/>
        </w:rPr>
        <w:t xml:space="preserve">2.1 Monthly vendor reports should be filed in the contract register within five (5) business days of receipt.</w:t>
      </w:r>
    </w:p>
    <w:p>
      <w:pPr>
        <w:spacing w:after="100"/>
      </w:pPr>
      <w:r>
        <w:rPr>
          <w:b w:val="false"/>
          <w:bCs w:val="false"/>
        </w:rPr>
        <w:t xml:space="preserve"/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2026-10-02T22:53:39.932Z</dcterms:created>
  <dcterms:modified xsi:type="dcterms:W3CDTF">2026-10-02T22:53:39.932Z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