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Cas real d’integració d’aplicacions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exemple real d'integració d'aplicacions va passar a SEAT, empresa del grup Volkswagen. Aquesta empresa va implementar un sistema basat en Enterprise Service Bus (ESB) per millorar la seva cadena de subministrament i els seus processos de producció, el qual va ser necessari a causa de la dificultat dels sistemes informàtics.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SEAT gestionava una infraestructura IT molt diversa, amb sistemes separats per àrees, per tant, el repte era aconseguir una comunicació fluida i centralitzada entre aquestes aplicacions per tal de millorar la visibilitat en temps real de la producció o evitar duplicació de dades, entre altres coses.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solució implementada va ser implementar un sistema basat en ESB com a middleware central per integrar totes les aplicacions, facilitant la comunicació entre elles sense necessitat de modificacions internes. Aquest ESB va actuar com un bus de missatgeria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permetia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transmetre informació asíncronament en petits paquets, optimitzant el rendiment.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També es va optar per utilitzar una arquitectura SOA (Service-Oriented Architecture), on les funcionalitats crítiques es van encapsular en serveis reutilitzables, exposats mitjançant APIs per ser consumides per diferents sistemes.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últim, es va realitzar una transformació i enrutament de dades, implementant components per transformar les dades a formats estàndards, com XML o JSON, resolent la heterogeneïtat dels sistemes.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a resultat d’aquests canvis, es va aconseguir el següent: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va reduir el temps de producció, on la informació en temps real va permetre ajustar millor la planificació de recursos i reduir temps morts.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va millorar la coordinació amb proveïdors i sistemes logístics externs, gràcies a la integració de dades.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nova arquitectura va permetre afegir noves aplicacions sense augmentar la complexitat del sistema.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disponibilitat de dades sincronitzades va facilitar una millor atenció i resposta a les necessitats dels clients.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spacing w:after="240" w:before="240" w:lineRule="auto"/>
      <w:rPr/>
    </w:pPr>
    <w:r w:rsidDel="00000000" w:rsidR="00000000" w:rsidRPr="00000000">
      <w:rPr>
        <w:sz w:val="24"/>
        <w:szCs w:val="24"/>
        <w:rtl w:val="0"/>
      </w:rPr>
      <w:t xml:space="preserve">Èric Díez Apolo i Guillermo Navas                                                                           DSI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