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89" w:rsidRPr="00285689" w:rsidRDefault="00285689" w:rsidP="00285689">
      <w:pPr>
        <w:pStyle w:val="Ttulo1"/>
        <w:numPr>
          <w:ilvl w:val="0"/>
          <w:numId w:val="0"/>
        </w:numPr>
        <w:ind w:left="360" w:hanging="360"/>
      </w:pPr>
      <w:bookmarkStart w:id="0" w:name="_Toc422748094"/>
      <w:r w:rsidRPr="00285689">
        <w:t>Taules etapa</w:t>
      </w:r>
      <w:r w:rsidRPr="00285689">
        <w:t xml:space="preserve"> </w:t>
      </w:r>
      <w:bookmarkEnd w:id="0"/>
      <w:r w:rsidRPr="00285689">
        <w:t>1</w:t>
      </w:r>
      <w:bookmarkStart w:id="1" w:name="_GoBack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 xml:space="preserve">Atractivo de la amenaza de nuevos entrantes en el </w:t>
            </w:r>
            <w:r w:rsidRPr="008520B4">
              <w:rPr>
                <w:rFonts w:eastAsia="Times New Roman"/>
                <w:b/>
                <w:sz w:val="20"/>
                <w:szCs w:val="20"/>
                <w:u w:val="single"/>
                <w:lang w:val="es-ES"/>
              </w:rPr>
              <w:t>sector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2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Barreras de entrada en el sector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Existencia de economías de escala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Pequeños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Diferenciación del producto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Importante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Identificación de la marca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Costo de cambio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Acceso a canales de distribución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Restringido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Requerimientos de capital asociados al riesgo de entrada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Acceso a  tecnología punta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Restringido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Acceso a  materias primas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Restringido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Protección gubernamental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Inexistente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Efecto de la experiencia y aprendizaje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Importante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Barreras de salida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Especialización de activos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Costo de salida por  una vez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Interrelación estratégica con otros negocios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Barreras emocionales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Regulaciones gubernamentales y sociales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2" w:name="_Toc422748180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Atractiu</w:t>
      </w:r>
      <w:proofErr w:type="spellEnd"/>
      <w:r w:rsidRPr="008520B4">
        <w:rPr>
          <w:lang w:val="es-ES"/>
        </w:rPr>
        <w:t xml:space="preserve"> de </w:t>
      </w:r>
      <w:proofErr w:type="spellStart"/>
      <w:r w:rsidRPr="008520B4">
        <w:rPr>
          <w:lang w:val="es-ES"/>
        </w:rPr>
        <w:t>l'amenaça</w:t>
      </w:r>
      <w:proofErr w:type="spellEnd"/>
      <w:r w:rsidRPr="008520B4">
        <w:rPr>
          <w:lang w:val="es-ES"/>
        </w:rPr>
        <w:t xml:space="preserve"> de </w:t>
      </w:r>
      <w:proofErr w:type="spellStart"/>
      <w:r w:rsidRPr="008520B4">
        <w:rPr>
          <w:lang w:val="es-ES"/>
        </w:rPr>
        <w:t>nous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entrants</w:t>
      </w:r>
      <w:proofErr w:type="spellEnd"/>
      <w:r w:rsidRPr="008520B4">
        <w:rPr>
          <w:lang w:val="es-ES"/>
        </w:rPr>
        <w:t xml:space="preserve"> en el sector</w:t>
      </w:r>
      <w:bookmarkEnd w:id="2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Atractivo del  poder de los nuevos compradores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69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Poder negociador de los compradores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compradores importantes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de sustitutos para los productos de la industria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Alta 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Costo de cambio para el comprador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Amenaza de los compradores de integración hacia atrás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Amenaza de la industria de integración hacia delante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Contribución a la calidad o servicio de los productos de los compradores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Pequeña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Costo total de los compradores contribuido por la industria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 fracción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Pequeña fracción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Rentabilidad de los compradores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información de los compradores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Papel del gobierno como comprador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Default="00285689" w:rsidP="00285689">
      <w:pPr>
        <w:pStyle w:val="Descripcin"/>
        <w:rPr>
          <w:lang w:val="es-ES"/>
        </w:rPr>
      </w:pPr>
      <w:bookmarkStart w:id="3" w:name="_Toc422748181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2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Atractiu</w:t>
      </w:r>
      <w:proofErr w:type="spellEnd"/>
      <w:r w:rsidRPr="008520B4">
        <w:rPr>
          <w:lang w:val="es-ES"/>
        </w:rPr>
        <w:t xml:space="preserve"> del poder </w:t>
      </w:r>
      <w:proofErr w:type="spellStart"/>
      <w:r w:rsidRPr="008520B4">
        <w:rPr>
          <w:lang w:val="es-ES"/>
        </w:rPr>
        <w:t>dels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nous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compradors</w:t>
      </w:r>
      <w:bookmarkEnd w:id="3"/>
      <w:proofErr w:type="spellEnd"/>
    </w:p>
    <w:p w:rsidR="00285689" w:rsidRDefault="00285689" w:rsidP="0028568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>
        <w:rPr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Atractivo del  poder de los sustitutos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56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de sustitutos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de sustitutos cercanos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Importante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Propensión  de los clientes a aceptar productos sustitutivos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Agresividad de los fabricantes de sustitutos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Costos de cambio del usuario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Rentabilidad  del productor de sustitutos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Ratio Precio/Valor del sustituto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4" w:name="_Toc422748182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Atractiu</w:t>
      </w:r>
      <w:proofErr w:type="spellEnd"/>
      <w:r w:rsidRPr="008520B4">
        <w:rPr>
          <w:lang w:val="es-ES"/>
        </w:rPr>
        <w:t xml:space="preserve"> del poder </w:t>
      </w:r>
      <w:proofErr w:type="spellStart"/>
      <w:r w:rsidRPr="008520B4">
        <w:rPr>
          <w:lang w:val="es-ES"/>
        </w:rPr>
        <w:t>dels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substituts</w:t>
      </w:r>
      <w:bookmarkEnd w:id="4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Atractivo del  poder de los proveedores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4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Poder negociador de los proveedores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proveedores importantes (Oligopolio de oferta)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de sustitutos para los productos de los proveedores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Diferenciación o costo de cambio de los productos de los proveedores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Amenazas de proveedores de integración hacia delante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Amenaza de la industria de integración hacia atrás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Contribución de los proveedores a la calidad del producto o servicio (demanda rígida)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Costo total de la industria contribuido por los proveedores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 fracción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Pequeña fracción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Importancia de la industria para los beneficios de los proveedores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Pequeña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Participación del gobierno como proveedor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Poder de los trabajadores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de oferta general de trabajadores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Necesidad de fuerza de trabajo altamente especializada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dotación del personal de la empresa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sindicalización de los trabajadores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5" w:name="_Toc422748183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Atractiu</w:t>
      </w:r>
      <w:proofErr w:type="spellEnd"/>
      <w:r w:rsidRPr="008520B4">
        <w:rPr>
          <w:lang w:val="es-ES"/>
        </w:rPr>
        <w:t xml:space="preserve"> del poder </w:t>
      </w:r>
      <w:proofErr w:type="spellStart"/>
      <w:r w:rsidRPr="008520B4">
        <w:rPr>
          <w:lang w:val="es-ES"/>
        </w:rPr>
        <w:t>dels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proveïdors</w:t>
      </w:r>
      <w:bookmarkEnd w:id="5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Atractivo del  grado de rivalidad del sector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1266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rivalidad entre competidores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Concentración y equilibrio entre competidores.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Importante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Crecimiento relativo de la industria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Lento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Rápido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Coste fijo (de almacenamiento)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Características del producto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Genérico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Comodity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Aumentos de sobrecapacidad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Pequeños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Diversidad de competidores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Asistencia gubernamental proporcionada a los competidores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Sustancial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Insignific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Intereses Estratégicos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6" w:name="_Toc422748184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Atractiu</w:t>
      </w:r>
      <w:proofErr w:type="spellEnd"/>
      <w:r w:rsidRPr="008520B4">
        <w:rPr>
          <w:lang w:val="es-ES"/>
        </w:rPr>
        <w:t xml:space="preserve"> del </w:t>
      </w:r>
      <w:proofErr w:type="spellStart"/>
      <w:r w:rsidRPr="008520B4">
        <w:rPr>
          <w:lang w:val="es-ES"/>
        </w:rPr>
        <w:t>grau</w:t>
      </w:r>
      <w:proofErr w:type="spellEnd"/>
      <w:r w:rsidRPr="008520B4">
        <w:rPr>
          <w:lang w:val="es-ES"/>
        </w:rPr>
        <w:t xml:space="preserve"> de </w:t>
      </w:r>
      <w:proofErr w:type="spellStart"/>
      <w:r w:rsidRPr="008520B4">
        <w:rPr>
          <w:lang w:val="es-ES"/>
        </w:rPr>
        <w:t>rivalitat</w:t>
      </w:r>
      <w:proofErr w:type="spellEnd"/>
      <w:r w:rsidRPr="008520B4">
        <w:rPr>
          <w:lang w:val="es-ES"/>
        </w:rPr>
        <w:t xml:space="preserve"> del sector</w:t>
      </w:r>
      <w:bookmarkEnd w:id="6"/>
    </w:p>
    <w:p w:rsidR="00285689" w:rsidRDefault="00285689" w:rsidP="00285689">
      <w:pPr>
        <w:spacing w:before="0" w:after="160" w:line="259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  <w:r>
        <w:rPr>
          <w:rFonts w:eastAsia="Times New Roman"/>
          <w:sz w:val="20"/>
          <w:szCs w:val="20"/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 xml:space="preserve">Factores </w:t>
            </w:r>
            <w:proofErr w:type="spellStart"/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Politico</w:t>
            </w:r>
            <w:proofErr w:type="spellEnd"/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-legales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Marco económico permanente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Régimen libertades constitucionales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Reducido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Colectivos y grupos de poder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Concentrac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Dispersión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Pluralidad partidos políticos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Reprimida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Promovida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Credibilidad de la justicia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Discutible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Respetada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Política específica del gobierno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Promoción de la actividad empresarial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Reprimida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Promovida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Defensa de la competencia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Pasiva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Activa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intervención en la actividad económica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Excesiva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Moderada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Legislación antitrust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Olvidada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Existente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Mecanismos de lucha anticorrupción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Pasivos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Activos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rFonts w:eastAsia="Times New Roman"/>
          <w:sz w:val="20"/>
          <w:szCs w:val="20"/>
          <w:lang w:val="es-ES"/>
        </w:rPr>
      </w:pPr>
      <w:bookmarkStart w:id="7" w:name="_Toc422748185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6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Factors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politicolegals</w:t>
      </w:r>
      <w:bookmarkEnd w:id="7"/>
      <w:proofErr w:type="spellEnd"/>
    </w:p>
    <w:p w:rsidR="00285689" w:rsidRPr="008520B4" w:rsidRDefault="00285689" w:rsidP="00285689">
      <w:pPr>
        <w:spacing w:before="0" w:after="0" w:line="480" w:lineRule="auto"/>
        <w:ind w:firstLine="0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4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Factores Económicos (I)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62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Marco económico permanente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 económico general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Planificado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Mercado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Mecanismos de asignación de recursos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Centralizado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Descentraliz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burocracia del sistema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competencia existente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desarrollo industrial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de recursos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rFonts w:eastAsia="Times New Roman"/>
          <w:sz w:val="20"/>
          <w:szCs w:val="20"/>
          <w:lang w:val="es-ES"/>
        </w:rPr>
      </w:pPr>
      <w:bookmarkStart w:id="8" w:name="_Toc422748186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7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Factors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econòmics</w:t>
      </w:r>
      <w:proofErr w:type="spellEnd"/>
      <w:r w:rsidRPr="008520B4">
        <w:rPr>
          <w:lang w:val="es-ES"/>
        </w:rPr>
        <w:t xml:space="preserve"> I</w:t>
      </w:r>
      <w:bookmarkEnd w:id="8"/>
    </w:p>
    <w:p w:rsidR="00285689" w:rsidRPr="008520B4" w:rsidRDefault="00285689" w:rsidP="0028568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p w:rsidR="00285689" w:rsidRPr="008520B4" w:rsidRDefault="00285689" w:rsidP="0028568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p w:rsidR="00285689" w:rsidRPr="008520B4" w:rsidRDefault="00285689" w:rsidP="0028568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p w:rsidR="00285689" w:rsidRPr="008520B4" w:rsidRDefault="00285689" w:rsidP="0028568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4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Factores Económicos (II)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62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Factores coyunturales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Evolución del ciclo económico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Rescesivo</w:t>
            </w:r>
            <w:proofErr w:type="spellEnd"/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Expansivo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Tasas de crecimiento (PIB)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Tasas de inflación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Evolución balanza comercial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Deficitaria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Superávit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recursos energéticos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Tipos de interés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Niveles de desempleo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Evolución déficit público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Ascendente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Decreciente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Fortaleza del euro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rFonts w:eastAsia="Times New Roman"/>
          <w:sz w:val="20"/>
          <w:szCs w:val="20"/>
          <w:lang w:val="es-ES"/>
        </w:rPr>
      </w:pPr>
      <w:bookmarkStart w:id="9" w:name="_Toc422748187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8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Factors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econòmics</w:t>
      </w:r>
      <w:proofErr w:type="spellEnd"/>
      <w:r w:rsidRPr="008520B4">
        <w:rPr>
          <w:lang w:val="es-ES"/>
        </w:rPr>
        <w:t xml:space="preserve"> II</w:t>
      </w:r>
      <w:bookmarkEnd w:id="9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  <w:r w:rsidRPr="008520B4">
        <w:rPr>
          <w:rFonts w:eastAsia="Times New Roman"/>
          <w:sz w:val="20"/>
          <w:szCs w:val="20"/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 xml:space="preserve">Factores Socio-demográficos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05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Factores sociales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Estructura de clases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Heterogénea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Homogénea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Movilidad social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Limitada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responsabilidad social y civismo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Índice de conflictividad social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Existencia de grupos sindicales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Restringid.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Libre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Distribución de la renta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No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equitat</w:t>
            </w:r>
            <w:proofErr w:type="spellEnd"/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Equitativa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Niveles de renta disponible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Factores demográficos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Disponibilidades de capital humano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Crecimiento vegetativo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Negativo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Positivo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Tasas de emigración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Tasas de inmigración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Carácter mayoritario de la población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Rural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Urbano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Índices paro femenino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Índices paro juvenil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10" w:name="_Toc422748188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9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Factors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sociodemogràfics</w:t>
      </w:r>
      <w:bookmarkEnd w:id="10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 xml:space="preserve">Factores Tecnológicos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15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Capacidad para obtener y aplicar conocimientos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desarrollo científico y técnico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Infraestructura científica y tecnológica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Madurez de las tecnologías convencionales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Grande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Pequeña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y acceso a nueva tecnología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innovación tecnológica y de procesos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Protección a patentes e invenciones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Políticas de I + D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Ignoradas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Promocio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-nadas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Políticas de apoyo a nuevas tecnologías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11" w:name="_Toc422748189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10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Factors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tecnològics</w:t>
      </w:r>
      <w:bookmarkEnd w:id="11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 xml:space="preserve">Factores Cultura-educacionales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94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Factores culturales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Conducta genérica de grupos o individuos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Ahorrar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Consumir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Relaciones de autoridad entre individuos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Informales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Formales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Mecanismos de defensa para el consumidor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Diversidad étnica y/o religiosa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Reprimida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Aceptada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 de creencias y valores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Impuesto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Aceptado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Facores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educativos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institucionalización del sistema educativo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Primaria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Secundaria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Tasas de analfabetismo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escolarización femenina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institucionalización de la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formacion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profesional alternativa a la universidad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Tasa de población con estudios universitarios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Moderadas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Default="00285689" w:rsidP="00285689">
      <w:pPr>
        <w:pStyle w:val="Descripcin"/>
        <w:rPr>
          <w:lang w:val="es-ES"/>
        </w:rPr>
      </w:pPr>
      <w:bookmarkStart w:id="12" w:name="_Toc422748190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11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Factors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culturals-educactius</w:t>
      </w:r>
      <w:bookmarkEnd w:id="12"/>
      <w:proofErr w:type="spellEnd"/>
    </w:p>
    <w:p w:rsidR="00285689" w:rsidRDefault="00285689" w:rsidP="0028568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489"/>
        <w:gridCol w:w="1417"/>
        <w:gridCol w:w="426"/>
        <w:gridCol w:w="453"/>
        <w:gridCol w:w="397"/>
        <w:gridCol w:w="57"/>
        <w:gridCol w:w="453"/>
        <w:gridCol w:w="57"/>
        <w:gridCol w:w="397"/>
        <w:gridCol w:w="454"/>
        <w:gridCol w:w="425"/>
        <w:gridCol w:w="598"/>
        <w:gridCol w:w="71"/>
        <w:gridCol w:w="528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lastRenderedPageBreak/>
              <w:t>Logística de entrada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929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5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5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99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Logística de entrada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53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98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Concordancia de los sistemas de control de materiales </w:t>
            </w:r>
            <w:proofErr w:type="spellStart"/>
            <w:proofErr w:type="gram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y</w:t>
            </w:r>
            <w:proofErr w:type="spellEnd"/>
            <w:proofErr w:type="gram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inventario.</w:t>
            </w:r>
          </w:p>
        </w:tc>
        <w:tc>
          <w:tcPr>
            <w:tcW w:w="426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Devoluciones a proveedores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Recepción de materiales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Almacenamiento de materiales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Manipulación de materiales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Control de inventarios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Programación de transporte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8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13" w:name="_Toc422748191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12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logística </w:t>
      </w:r>
      <w:proofErr w:type="spellStart"/>
      <w:r w:rsidRPr="008520B4">
        <w:rPr>
          <w:lang w:val="es-ES"/>
        </w:rPr>
        <w:t>d'entrada</w:t>
      </w:r>
      <w:bookmarkEnd w:id="13"/>
      <w:proofErr w:type="spellEnd"/>
    </w:p>
    <w:p w:rsidR="00285689" w:rsidRPr="008520B4" w:rsidRDefault="00285689" w:rsidP="0028568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p w:rsidR="00285689" w:rsidRPr="008520B4" w:rsidRDefault="00285689" w:rsidP="0028568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"/>
        <w:gridCol w:w="2576"/>
        <w:gridCol w:w="1296"/>
        <w:gridCol w:w="426"/>
        <w:gridCol w:w="453"/>
        <w:gridCol w:w="454"/>
        <w:gridCol w:w="247"/>
        <w:gridCol w:w="206"/>
        <w:gridCol w:w="219"/>
        <w:gridCol w:w="235"/>
        <w:gridCol w:w="454"/>
        <w:gridCol w:w="425"/>
        <w:gridCol w:w="577"/>
        <w:gridCol w:w="57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2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Operaciones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5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62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5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5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7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 w:val="restart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Operaciones</w:t>
            </w:r>
          </w:p>
        </w:tc>
        <w:tc>
          <w:tcPr>
            <w:tcW w:w="387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53" w:type="dxa"/>
            <w:tcBorders>
              <w:top w:val="single" w:sz="2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77" w:type="dxa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Recepción de materias primas y otros inputs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Mecanización  y  transformación de materias primas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Ensamblaje de componentes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Empaquetado de productos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Etiquetado de productos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Recuperación de productos y residuos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Mantenimiento de los equipos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Control de calidad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Automatización del proceso productivo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Distribución de planta eficiente 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Eficiencia en el diseño de flujos de trabajo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0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72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7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rFonts w:eastAsia="Times New Roman"/>
          <w:sz w:val="20"/>
          <w:szCs w:val="20"/>
          <w:lang w:val="es-ES"/>
        </w:rPr>
      </w:pPr>
      <w:bookmarkStart w:id="14" w:name="_Toc422748192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13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Operacions</w:t>
      </w:r>
      <w:bookmarkEnd w:id="14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599"/>
        <w:gridCol w:w="1307"/>
        <w:gridCol w:w="426"/>
        <w:gridCol w:w="453"/>
        <w:gridCol w:w="454"/>
        <w:gridCol w:w="53"/>
        <w:gridCol w:w="400"/>
        <w:gridCol w:w="25"/>
        <w:gridCol w:w="429"/>
        <w:gridCol w:w="454"/>
        <w:gridCol w:w="425"/>
        <w:gridCol w:w="567"/>
        <w:gridCol w:w="567"/>
      </w:tblGrid>
      <w:tr w:rsidR="00285689" w:rsidRPr="008520B4" w:rsidTr="00A1004A">
        <w:trPr>
          <w:cantSplit/>
          <w:trHeight w:val="580"/>
          <w:jc w:val="center"/>
        </w:trPr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Logística de salida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3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780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5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5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Logística de salida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53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t xml:space="preserve">Eficiencia en la entrega de productos o servicios </w:t>
            </w:r>
          </w:p>
        </w:tc>
        <w:tc>
          <w:tcPr>
            <w:tcW w:w="426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t>Almacenaje de productos elaborados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Recepción de materiales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t>Procesamiento de pedidos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t>Programación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Operación de vehículos de entrega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0" w:after="0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53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3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4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15" w:name="_Toc422748193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14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logística de </w:t>
      </w:r>
      <w:proofErr w:type="spellStart"/>
      <w:r w:rsidRPr="008520B4">
        <w:rPr>
          <w:lang w:val="es-ES"/>
        </w:rPr>
        <w:t>sortida</w:t>
      </w:r>
      <w:bookmarkEnd w:id="15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lang w:val="es-ES"/>
        </w:rPr>
      </w:pP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631"/>
        <w:gridCol w:w="1275"/>
        <w:gridCol w:w="426"/>
        <w:gridCol w:w="466"/>
        <w:gridCol w:w="466"/>
        <w:gridCol w:w="60"/>
        <w:gridCol w:w="406"/>
        <w:gridCol w:w="19"/>
        <w:gridCol w:w="447"/>
        <w:gridCol w:w="467"/>
        <w:gridCol w:w="425"/>
        <w:gridCol w:w="79"/>
        <w:gridCol w:w="488"/>
        <w:gridCol w:w="567"/>
      </w:tblGrid>
      <w:tr w:rsidR="00285689" w:rsidRPr="008520B4" w:rsidTr="00A1004A">
        <w:trPr>
          <w:cantSplit/>
          <w:trHeight w:val="580"/>
          <w:jc w:val="center"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Comercialización y ventas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780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Comercialización y ventas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66" w:type="dxa"/>
            <w:tcBorders>
              <w:top w:val="single" w:sz="2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Definición y análisis de mercado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Imagen de calidad y reputación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Publicidad y promociones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Motivación y competencia en fuerza de ventas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Selección de canales de venta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Estrategia de fijación de precios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Investigación de mercados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Estrategia de distribución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Default="00285689" w:rsidP="00285689">
      <w:pPr>
        <w:pStyle w:val="Descripcin"/>
        <w:rPr>
          <w:lang w:val="es-ES"/>
        </w:rPr>
      </w:pPr>
      <w:bookmarkStart w:id="16" w:name="_Toc422748194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15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Comercialització</w:t>
      </w:r>
      <w:proofErr w:type="spellEnd"/>
      <w:r w:rsidRPr="008520B4">
        <w:rPr>
          <w:lang w:val="es-ES"/>
        </w:rPr>
        <w:t xml:space="preserve"> i vendes</w:t>
      </w:r>
      <w:bookmarkEnd w:id="16"/>
    </w:p>
    <w:p w:rsidR="00285689" w:rsidRDefault="00285689" w:rsidP="0028568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631"/>
        <w:gridCol w:w="1275"/>
        <w:gridCol w:w="426"/>
        <w:gridCol w:w="466"/>
        <w:gridCol w:w="466"/>
        <w:gridCol w:w="123"/>
        <w:gridCol w:w="343"/>
        <w:gridCol w:w="82"/>
        <w:gridCol w:w="384"/>
        <w:gridCol w:w="467"/>
        <w:gridCol w:w="425"/>
        <w:gridCol w:w="567"/>
        <w:gridCol w:w="567"/>
      </w:tblGrid>
      <w:tr w:rsidR="00285689" w:rsidRPr="008520B4" w:rsidTr="00A1004A">
        <w:trPr>
          <w:cantSplit/>
          <w:trHeight w:val="580"/>
          <w:jc w:val="center"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lastRenderedPageBreak/>
              <w:t>Servicio post-venta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780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Servicio Post-venta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0" w:after="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66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Servicio de instalación</w:t>
            </w:r>
          </w:p>
        </w:tc>
        <w:tc>
          <w:tcPr>
            <w:tcW w:w="426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Servicio de reparación 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Formación y capacitación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Suministro de repuestos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Ajuste del producto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Servicio de atención del cliente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Aceptación de sugerencias de mejora  del cliente 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163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17" w:name="_Toc422748195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16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servei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postvenda</w:t>
      </w:r>
      <w:bookmarkEnd w:id="17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631"/>
        <w:gridCol w:w="1275"/>
        <w:gridCol w:w="426"/>
        <w:gridCol w:w="466"/>
        <w:gridCol w:w="466"/>
        <w:gridCol w:w="60"/>
        <w:gridCol w:w="406"/>
        <w:gridCol w:w="19"/>
        <w:gridCol w:w="447"/>
        <w:gridCol w:w="467"/>
        <w:gridCol w:w="425"/>
        <w:gridCol w:w="567"/>
        <w:gridCol w:w="567"/>
      </w:tblGrid>
      <w:tr w:rsidR="00285689" w:rsidRPr="008520B4" w:rsidTr="00A1004A">
        <w:trPr>
          <w:cantSplit/>
          <w:trHeight w:val="560"/>
          <w:jc w:val="center"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lastRenderedPageBreak/>
              <w:t>Abastecimiento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780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Abastecimiento 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66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Selección y evaluación de proveedores</w:t>
            </w:r>
          </w:p>
        </w:tc>
        <w:tc>
          <w:tcPr>
            <w:tcW w:w="426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Compra de materias primas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Suministros exteriores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Compra de maquinaria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Mantenimiento de equipos  y material de oficina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Mantenimiento de terrenos y edificios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Asesoramiento</w:t>
            </w:r>
          </w:p>
        </w:tc>
        <w:tc>
          <w:tcPr>
            <w:tcW w:w="426" w:type="dxa"/>
            <w:vMerge/>
            <w:tcBorders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rFonts w:eastAsia="Times New Roman"/>
          <w:sz w:val="20"/>
          <w:szCs w:val="20"/>
          <w:lang w:val="es-ES"/>
        </w:rPr>
      </w:pPr>
      <w:bookmarkStart w:id="18" w:name="_Toc422748196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17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subministrament</w:t>
      </w:r>
      <w:bookmarkEnd w:id="18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631"/>
        <w:gridCol w:w="1275"/>
        <w:gridCol w:w="426"/>
        <w:gridCol w:w="466"/>
        <w:gridCol w:w="466"/>
        <w:gridCol w:w="60"/>
        <w:gridCol w:w="406"/>
        <w:gridCol w:w="19"/>
        <w:gridCol w:w="447"/>
        <w:gridCol w:w="467"/>
        <w:gridCol w:w="425"/>
        <w:gridCol w:w="567"/>
        <w:gridCol w:w="567"/>
      </w:tblGrid>
      <w:tr w:rsidR="00285689" w:rsidRPr="008520B4" w:rsidTr="00A1004A">
        <w:trPr>
          <w:cantSplit/>
          <w:trHeight w:val="560"/>
          <w:jc w:val="center"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Tecnología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780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Tecnologías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66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Liderazgo en actividades de I+D</w:t>
            </w:r>
          </w:p>
        </w:tc>
        <w:tc>
          <w:tcPr>
            <w:tcW w:w="426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Investigación de actividades críticas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Laboratorios e instalaciones de I+D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Reputación y experiencia de los investigadores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Entorno de trabajo favorable para la creatividad e innovación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Tratamiento del know-how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Adquisición de nueva tecnología</w:t>
            </w:r>
          </w:p>
        </w:tc>
        <w:tc>
          <w:tcPr>
            <w:tcW w:w="426" w:type="dxa"/>
            <w:vMerge/>
            <w:tcBorders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Gestión de patentes</w:t>
            </w:r>
          </w:p>
        </w:tc>
        <w:tc>
          <w:tcPr>
            <w:tcW w:w="426" w:type="dxa"/>
            <w:vMerge/>
            <w:tcBorders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19" w:name="_Toc422748197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18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tecnologia</w:t>
      </w:r>
      <w:bookmarkEnd w:id="19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631"/>
        <w:gridCol w:w="1275"/>
        <w:gridCol w:w="426"/>
        <w:gridCol w:w="466"/>
        <w:gridCol w:w="466"/>
        <w:gridCol w:w="60"/>
        <w:gridCol w:w="406"/>
        <w:gridCol w:w="19"/>
        <w:gridCol w:w="447"/>
        <w:gridCol w:w="467"/>
        <w:gridCol w:w="425"/>
        <w:gridCol w:w="567"/>
        <w:gridCol w:w="567"/>
      </w:tblGrid>
      <w:tr w:rsidR="00285689" w:rsidRPr="008520B4" w:rsidTr="00A1004A">
        <w:trPr>
          <w:cantSplit/>
          <w:trHeight w:val="560"/>
          <w:jc w:val="center"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lastRenderedPageBreak/>
              <w:t>Recursos Humanos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780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Recursos humanos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0" w:after="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66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pacing w:val="-2"/>
                <w:sz w:val="18"/>
                <w:szCs w:val="20"/>
                <w:lang w:val="es-ES"/>
              </w:rPr>
              <w:t>Muchas posibilidades d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mejora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 de selección y reclutamiento</w:t>
            </w:r>
          </w:p>
        </w:tc>
        <w:tc>
          <w:tcPr>
            <w:tcW w:w="426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 de promoción y colocación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Procedimientos de evaluación del personal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Gestión adecuada de incentivos y retribuciones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Satisfacción y motivación por el trabajo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Relaciones sindicato/empresa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rFonts w:eastAsia="Times New Roman"/>
          <w:sz w:val="20"/>
          <w:szCs w:val="20"/>
          <w:lang w:val="es-ES"/>
        </w:rPr>
      </w:pPr>
      <w:bookmarkStart w:id="20" w:name="_Toc422748198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19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recursos </w:t>
      </w:r>
      <w:proofErr w:type="spellStart"/>
      <w:r w:rsidRPr="008520B4">
        <w:rPr>
          <w:lang w:val="es-ES"/>
        </w:rPr>
        <w:t>humans</w:t>
      </w:r>
      <w:bookmarkEnd w:id="20"/>
      <w:proofErr w:type="spellEnd"/>
    </w:p>
    <w:p w:rsidR="00285689" w:rsidRPr="008520B4" w:rsidRDefault="00285689" w:rsidP="0028568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1849"/>
        <w:gridCol w:w="2057"/>
        <w:gridCol w:w="426"/>
        <w:gridCol w:w="466"/>
        <w:gridCol w:w="384"/>
        <w:gridCol w:w="82"/>
        <w:gridCol w:w="466"/>
        <w:gridCol w:w="19"/>
        <w:gridCol w:w="447"/>
        <w:gridCol w:w="467"/>
        <w:gridCol w:w="425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Infraestructura gerencial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12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6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Infraestructura gerencial</w:t>
            </w: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66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posibilidades de mejora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 de planificación</w:t>
            </w:r>
          </w:p>
        </w:tc>
        <w:tc>
          <w:tcPr>
            <w:tcW w:w="426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 de control de gestión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 de comunicación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Estructura de la organización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Cultura de la organización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Capacidades de liderazgo</w:t>
            </w:r>
          </w:p>
        </w:tc>
        <w:tc>
          <w:tcPr>
            <w:tcW w:w="426" w:type="dxa"/>
            <w:vMerge/>
            <w:tcBorders>
              <w:left w:val="nil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Imagen pública  de la organización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Gestión de calidad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Gestión del capital y el riesgo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Gestión de la contabilidad</w:t>
            </w:r>
          </w:p>
        </w:tc>
        <w:tc>
          <w:tcPr>
            <w:tcW w:w="426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06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6" w:type="dxa"/>
            <w:gridSpan w:val="2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67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21" w:name="_Toc422748199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20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>: infraestructura gerencial</w:t>
      </w:r>
      <w:bookmarkEnd w:id="21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772"/>
        <w:gridCol w:w="1339"/>
        <w:gridCol w:w="425"/>
        <w:gridCol w:w="426"/>
        <w:gridCol w:w="425"/>
        <w:gridCol w:w="425"/>
        <w:gridCol w:w="425"/>
        <w:gridCol w:w="426"/>
        <w:gridCol w:w="425"/>
        <w:gridCol w:w="567"/>
        <w:gridCol w:w="567"/>
      </w:tblGrid>
      <w:tr w:rsidR="00285689" w:rsidRPr="008520B4" w:rsidTr="00A1004A">
        <w:trPr>
          <w:cantSplit/>
          <w:trHeight w:val="619"/>
          <w:jc w:val="center"/>
        </w:trPr>
        <w:tc>
          <w:tcPr>
            <w:tcW w:w="3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lastRenderedPageBreak/>
              <w:t>Sinérgias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 xml:space="preserve"> empresariales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trHeight w:val="844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285689" w:rsidRPr="008520B4" w:rsidRDefault="0028568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Vínculos</w:t>
            </w: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posibilidades de mejora</w:t>
            </w:r>
          </w:p>
        </w:tc>
        <w:tc>
          <w:tcPr>
            <w:tcW w:w="426" w:type="dxa"/>
            <w:tcBorders>
              <w:top w:val="single" w:sz="2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Desarrollo tecnología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Operaciones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Abastecimiento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Infraestructura gerencial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Logística de entrada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Comercialización y ventas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Logística de salida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Servicio post-venta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Dirección recursos humanos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Operaciones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Desarrollo de tecnología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>Servicio post-venta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Dirección recursos humanos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Servicio post-venta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Desarrollo de tecnología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>Comercialización y ventas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Infraestructura gerencial 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Operaciones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Interrelaciones</w:t>
            </w: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Pocas  posibilidades de mejora</w:t>
            </w:r>
          </w:p>
        </w:tc>
        <w:tc>
          <w:tcPr>
            <w:tcW w:w="4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Muchas  posibilidades de mejora</w:t>
            </w: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Logística de entrada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>Proveedores (Comercialización y ventas)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Infraestructura gerencial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Proveedores (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Infraestrcutura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gerencial)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Compras 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Clientes (Logística de entrada)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Servicio post-venta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Clientes (Abastecimiento)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Infraestructura gerencial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sym w:font="Wingdings" w:char="F0F3"/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Clientes (Infraestructura gerencial)</w:t>
            </w:r>
          </w:p>
        </w:tc>
        <w:tc>
          <w:tcPr>
            <w:tcW w:w="425" w:type="dxa"/>
            <w:vMerge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28568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285689" w:rsidRPr="008520B4" w:rsidRDefault="0028568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285689" w:rsidRPr="008520B4" w:rsidRDefault="00285689" w:rsidP="00285689">
      <w:pPr>
        <w:pStyle w:val="Descripcin"/>
        <w:rPr>
          <w:lang w:val="es-ES"/>
        </w:rPr>
      </w:pPr>
      <w:bookmarkStart w:id="22" w:name="_Toc422748200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21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Sinergies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empresarials</w:t>
      </w:r>
      <w:bookmarkEnd w:id="22"/>
      <w:proofErr w:type="spellEnd"/>
    </w:p>
    <w:p w:rsidR="00285689" w:rsidRPr="008520B4" w:rsidRDefault="00285689" w:rsidP="0028568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p w:rsidR="00004709" w:rsidRDefault="00004709"/>
    <w:sectPr w:rsidR="00004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0AD1"/>
    <w:multiLevelType w:val="multilevel"/>
    <w:tmpl w:val="4F50390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89"/>
    <w:rsid w:val="00004709"/>
    <w:rsid w:val="002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0AA26-60D5-457F-8524-765D8778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89"/>
    <w:pPr>
      <w:spacing w:before="120" w:after="240" w:line="360" w:lineRule="auto"/>
      <w:ind w:firstLine="284"/>
      <w:jc w:val="both"/>
    </w:pPr>
    <w:rPr>
      <w:rFonts w:ascii="Tahoma" w:eastAsiaTheme="minorEastAsia" w:hAnsi="Tahoma" w:cs="Tahoma"/>
      <w:lang w:val="ca-ES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285689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85689"/>
    <w:pPr>
      <w:numPr>
        <w:ilvl w:val="1"/>
      </w:numPr>
      <w:outlineLvl w:val="1"/>
    </w:pPr>
    <w:rPr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85689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285689"/>
    <w:pPr>
      <w:numPr>
        <w:ilvl w:val="3"/>
      </w:numPr>
      <w:outlineLvl w:val="3"/>
    </w:pPr>
    <w:rPr>
      <w:b w:val="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6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689"/>
    <w:rPr>
      <w:rFonts w:ascii="Tahoma" w:eastAsiaTheme="majorEastAsia" w:hAnsi="Tahoma" w:cs="Tahoma"/>
      <w:sz w:val="32"/>
      <w:szCs w:val="32"/>
      <w:lang w:val="ca-ES"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285689"/>
    <w:rPr>
      <w:rFonts w:ascii="Tahoma" w:eastAsiaTheme="majorEastAsia" w:hAnsi="Tahoma" w:cs="Tahoma"/>
      <w:sz w:val="28"/>
      <w:szCs w:val="28"/>
      <w:lang w:val="ca-ES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285689"/>
    <w:rPr>
      <w:rFonts w:ascii="Tahoma" w:eastAsiaTheme="minorEastAsia" w:hAnsi="Tahoma" w:cs="Tahoma"/>
      <w:b/>
      <w:lang w:val="ca-ES" w:eastAsia="zh-TW"/>
    </w:rPr>
  </w:style>
  <w:style w:type="character" w:customStyle="1" w:styleId="Ttulo4Car">
    <w:name w:val="Título 4 Car"/>
    <w:basedOn w:val="Fuentedeprrafopredeter"/>
    <w:link w:val="Ttulo4"/>
    <w:uiPriority w:val="9"/>
    <w:rsid w:val="00285689"/>
    <w:rPr>
      <w:rFonts w:ascii="Tahoma" w:eastAsiaTheme="minorEastAsia" w:hAnsi="Tahoma" w:cs="Tahoma"/>
      <w:lang w:val="ca-ES" w:eastAsia="zh-TW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689"/>
    <w:rPr>
      <w:rFonts w:asciiTheme="majorHAnsi" w:eastAsiaTheme="majorEastAsia" w:hAnsiTheme="majorHAnsi" w:cstheme="majorBidi"/>
      <w:i/>
      <w:iCs/>
      <w:color w:val="1F4D78" w:themeColor="accent1" w:themeShade="7F"/>
      <w:lang w:val="ca-ES" w:eastAsia="zh-TW"/>
    </w:rPr>
  </w:style>
  <w:style w:type="paragraph" w:styleId="Prrafodelista">
    <w:name w:val="List Paragraph"/>
    <w:basedOn w:val="Normal"/>
    <w:uiPriority w:val="34"/>
    <w:qFormat/>
    <w:rsid w:val="002856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5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689"/>
    <w:rPr>
      <w:rFonts w:ascii="Tahoma" w:eastAsiaTheme="minorEastAsia" w:hAnsi="Tahoma" w:cs="Tahoma"/>
      <w:lang w:val="ca-ES" w:eastAsia="zh-TW"/>
    </w:rPr>
  </w:style>
  <w:style w:type="paragraph" w:styleId="Piedepgina">
    <w:name w:val="footer"/>
    <w:basedOn w:val="Normal"/>
    <w:link w:val="PiedepginaCar"/>
    <w:uiPriority w:val="99"/>
    <w:unhideWhenUsed/>
    <w:rsid w:val="00285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689"/>
    <w:rPr>
      <w:rFonts w:ascii="Tahoma" w:eastAsiaTheme="minorEastAsia" w:hAnsi="Tahoma" w:cs="Tahoma"/>
      <w:lang w:val="ca-ES" w:eastAsia="zh-TW"/>
    </w:rPr>
  </w:style>
  <w:style w:type="paragraph" w:styleId="TtulodeTDC">
    <w:name w:val="TOC Heading"/>
    <w:basedOn w:val="Ttulo1"/>
    <w:next w:val="Normal"/>
    <w:link w:val="TtulodeTDCCar"/>
    <w:uiPriority w:val="39"/>
    <w:unhideWhenUsed/>
    <w:qFormat/>
    <w:rsid w:val="00285689"/>
    <w:pPr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285689"/>
    <w:pPr>
      <w:tabs>
        <w:tab w:val="left" w:pos="880"/>
        <w:tab w:val="right" w:leader="dot" w:pos="8494"/>
      </w:tabs>
      <w:spacing w:before="0" w:after="0"/>
    </w:pPr>
  </w:style>
  <w:style w:type="paragraph" w:styleId="TDC2">
    <w:name w:val="toc 2"/>
    <w:basedOn w:val="Normal"/>
    <w:next w:val="Normal"/>
    <w:autoRedefine/>
    <w:uiPriority w:val="39"/>
    <w:unhideWhenUsed/>
    <w:rsid w:val="00285689"/>
    <w:pPr>
      <w:tabs>
        <w:tab w:val="left" w:pos="1100"/>
        <w:tab w:val="right" w:leader="dot" w:pos="8494"/>
      </w:tabs>
      <w:spacing w:before="0" w:after="0"/>
      <w:ind w:left="221"/>
    </w:pPr>
  </w:style>
  <w:style w:type="character" w:styleId="Hipervnculo">
    <w:name w:val="Hyperlink"/>
    <w:basedOn w:val="Fuentedeprrafopredeter"/>
    <w:uiPriority w:val="99"/>
    <w:unhideWhenUsed/>
    <w:rsid w:val="00285689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85689"/>
    <w:pPr>
      <w:spacing w:before="0" w:after="100" w:line="259" w:lineRule="auto"/>
      <w:ind w:left="440" w:firstLine="0"/>
      <w:jc w:val="left"/>
    </w:pPr>
    <w:rPr>
      <w:rFonts w:asciiTheme="minorHAnsi" w:hAnsiTheme="minorHAnsi" w:cs="Times New Roman"/>
      <w:lang w:val="es-ES"/>
    </w:rPr>
  </w:style>
  <w:style w:type="paragraph" w:customStyle="1" w:styleId="ndex">
    <w:name w:val="Índex"/>
    <w:basedOn w:val="TDC1"/>
    <w:link w:val="ndexCar"/>
    <w:qFormat/>
    <w:rsid w:val="00285689"/>
    <w:rPr>
      <w:noProof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5689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5689"/>
    <w:rPr>
      <w:rFonts w:ascii="Tahoma" w:eastAsiaTheme="minorEastAsia" w:hAnsi="Tahoma" w:cs="Tahoma"/>
      <w:sz w:val="20"/>
      <w:szCs w:val="20"/>
      <w:lang w:val="ca-ES" w:eastAsia="zh-TW"/>
    </w:rPr>
  </w:style>
  <w:style w:type="character" w:customStyle="1" w:styleId="TtulodeTDCCar">
    <w:name w:val="Título de TDC Car"/>
    <w:basedOn w:val="Ttulo1Car"/>
    <w:link w:val="TtulodeTDC"/>
    <w:uiPriority w:val="39"/>
    <w:rsid w:val="002856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 w:eastAsia="zh-TW"/>
    </w:rPr>
  </w:style>
  <w:style w:type="character" w:customStyle="1" w:styleId="ndexCar">
    <w:name w:val="Índex Car"/>
    <w:basedOn w:val="TtulodeTDCCar"/>
    <w:link w:val="ndex"/>
    <w:rsid w:val="00285689"/>
    <w:rPr>
      <w:rFonts w:ascii="Tahoma" w:eastAsiaTheme="minorEastAsia" w:hAnsi="Tahoma" w:cs="Tahoma"/>
      <w:noProof/>
      <w:color w:val="2E74B5" w:themeColor="accent1" w:themeShade="BF"/>
      <w:sz w:val="32"/>
      <w:szCs w:val="32"/>
      <w:lang w:val="ca-ES" w:eastAsia="zh-TW"/>
    </w:rPr>
  </w:style>
  <w:style w:type="character" w:styleId="Refdenotaalfinal">
    <w:name w:val="endnote reference"/>
    <w:basedOn w:val="Fuentedeprrafopredeter"/>
    <w:uiPriority w:val="99"/>
    <w:semiHidden/>
    <w:unhideWhenUsed/>
    <w:rsid w:val="0028568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285689"/>
    <w:rPr>
      <w:color w:val="808080"/>
    </w:rPr>
  </w:style>
  <w:style w:type="character" w:customStyle="1" w:styleId="apple-converted-space">
    <w:name w:val="apple-converted-space"/>
    <w:basedOn w:val="Fuentedeprrafopredeter"/>
    <w:rsid w:val="00285689"/>
  </w:style>
  <w:style w:type="character" w:customStyle="1" w:styleId="hiddenspellerror">
    <w:name w:val="hiddenspellerror"/>
    <w:basedOn w:val="Fuentedeprrafopredeter"/>
    <w:rsid w:val="00285689"/>
  </w:style>
  <w:style w:type="paragraph" w:styleId="NormalWeb">
    <w:name w:val="Normal (Web)"/>
    <w:basedOn w:val="Normal"/>
    <w:uiPriority w:val="99"/>
    <w:unhideWhenUsed/>
    <w:rsid w:val="0028568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styleId="Tablaconcuadrcula">
    <w:name w:val="Table Grid"/>
    <w:basedOn w:val="Tablanormal"/>
    <w:uiPriority w:val="39"/>
    <w:rsid w:val="00285689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5">
    <w:name w:val="Grid Table 3 Accent 5"/>
    <w:basedOn w:val="Tablanormal"/>
    <w:uiPriority w:val="48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285689"/>
    <w:pPr>
      <w:spacing w:after="0" w:line="240" w:lineRule="auto"/>
    </w:pPr>
    <w:rPr>
      <w:rFonts w:eastAsiaTheme="minorEastAsia"/>
      <w:lang w:val="ca-ES"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5689"/>
    <w:rPr>
      <w:rFonts w:eastAsiaTheme="minorEastAsia"/>
      <w:lang w:val="ca-ES" w:eastAsia="ca-ES"/>
    </w:rPr>
  </w:style>
  <w:style w:type="paragraph" w:styleId="Descripcin">
    <w:name w:val="caption"/>
    <w:basedOn w:val="Normal"/>
    <w:next w:val="Normal"/>
    <w:uiPriority w:val="35"/>
    <w:unhideWhenUsed/>
    <w:qFormat/>
    <w:rsid w:val="0028568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5689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285689"/>
    <w:rPr>
      <w:color w:val="954F72" w:themeColor="followedHyperlink"/>
      <w:u w:val="single"/>
    </w:rPr>
  </w:style>
  <w:style w:type="table" w:styleId="Tabladecuadrcula4-nfasis1">
    <w:name w:val="Grid Table 4 Accent 1"/>
    <w:basedOn w:val="Tablanormal"/>
    <w:uiPriority w:val="49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iddengreenerror">
    <w:name w:val="hiddengreenerror"/>
    <w:basedOn w:val="Fuentedeprrafopredeter"/>
    <w:rsid w:val="00285689"/>
  </w:style>
  <w:style w:type="table" w:styleId="Tabladecuadrcula5oscura-nfasis5">
    <w:name w:val="Grid Table 5 Dark Accent 5"/>
    <w:basedOn w:val="Tablanormal"/>
    <w:uiPriority w:val="50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">
    <w:name w:val="Grid Table 4"/>
    <w:basedOn w:val="Tablanormal"/>
    <w:uiPriority w:val="49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28568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856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689"/>
    <w:rPr>
      <w:rFonts w:ascii="Segoe UI" w:eastAsiaTheme="minorEastAsia" w:hAnsi="Segoe UI" w:cs="Segoe UI"/>
      <w:sz w:val="18"/>
      <w:szCs w:val="18"/>
      <w:lang w:val="ca-E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2508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cp:lastPrinted>2015-10-01T06:57:00Z</cp:lastPrinted>
  <dcterms:created xsi:type="dcterms:W3CDTF">2015-10-01T06:49:00Z</dcterms:created>
  <dcterms:modified xsi:type="dcterms:W3CDTF">2015-10-01T06:57:00Z</dcterms:modified>
</cp:coreProperties>
</file>