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E9" w:rsidRPr="008520B4" w:rsidRDefault="00EB3AE9" w:rsidP="00EB3AE9">
      <w:pPr>
        <w:pStyle w:val="Ttulo1"/>
        <w:numPr>
          <w:ilvl w:val="0"/>
          <w:numId w:val="0"/>
        </w:numPr>
        <w:ind w:left="360" w:hanging="360"/>
        <w:rPr>
          <w:lang w:val="es-ES"/>
        </w:rPr>
      </w:pPr>
      <w:bookmarkStart w:id="0" w:name="_Toc422748095"/>
      <w:proofErr w:type="spellStart"/>
      <w:r>
        <w:rPr>
          <w:lang w:val="es-ES"/>
        </w:rPr>
        <w:t>Taules</w:t>
      </w:r>
      <w:proofErr w:type="spellEnd"/>
      <w:r>
        <w:rPr>
          <w:lang w:val="es-ES"/>
        </w:rPr>
        <w:t xml:space="preserve"> etapa 2</w:t>
      </w:r>
      <w:bookmarkStart w:id="1" w:name="_GoBack"/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414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 xml:space="preserve">Impacto organizativo del SI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  <w:r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</w:t>
            </w: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 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933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enfocadas al mantenimiento normal de las nuevas necesidades propias de la evolución de las actividades de la empresa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orientadas al cumplimiento de nuevos requerimientos legales o normativas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orientadas a proporcionar nueva información de apoyo para las toma de decisiones directivas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orientadas a la explotación de una idea o nueva oportunidad detectada por la empresa</w:t>
            </w:r>
          </w:p>
        </w:tc>
        <w:tc>
          <w:tcPr>
            <w:tcW w:w="993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orientadas a ofrecer nuevas vías de competitividad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involucradas en un desplazamiento tangible de los costes o en un aumento de la productividad que los evita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Muchas 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destinadas a mejorar el rendimiento de actividades existentes en términos de velocidad, exactitud y economía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desarrolladas como respuesta a un problema concreto o a evitar unas desventaja de la empresa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Aplicaciones desarrolladas para obtener una ventaja,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mantenible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posteriormente a través de desarrollos posteriores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Aplicaciones cuyo objetivo se centra en la investigación o el análisis del impacto de nuevas tecnologías en la empresa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Aplicaciones derivadas directamente de un objetivo o factor crítico de éxito propuesto por la dirección 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2" w:name="_Toc422748201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31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Impacte </w:t>
      </w:r>
      <w:proofErr w:type="spellStart"/>
      <w:r w:rsidRPr="008520B4">
        <w:rPr>
          <w:lang w:val="es-ES"/>
        </w:rPr>
        <w:t>organitzatiu</w:t>
      </w:r>
      <w:proofErr w:type="spellEnd"/>
      <w:r w:rsidRPr="008520B4">
        <w:rPr>
          <w:lang w:val="es-ES"/>
        </w:rPr>
        <w:t xml:space="preserve"> del SI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Calidad Técnica del SI (I)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Calidad del código fuente del SI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modularidad de las aplicaciones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formalidad estructural de las aplicaciones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Inconsistent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Consistentes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formalmente documentadas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Flexibilidad para integrar nuevas funcionalidades a las aplicaciones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Número de aplicaciones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desarro-lladas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bajo la orientación a objetos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Calidad del código fuente del SI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reusabilidad del código desarrollado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Frecuencia de revisiones para la  actualización de código desarrollado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Facilidad para probar o testear las aplicaciones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Auditabilidad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y concordancia del código de las aplicaciones a estándares de programación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Calidad de los datos del SI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unificación a través de  dic-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cionarios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 repositorios compartidos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agregación y asociación de los de los datos del SI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Unidimens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Multidimen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Mantenimiento y disponibilidad de datos históricos por parte del SI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controles de seguridad, confidencialidad y privacidad a datos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Minuciosidad y exactitud de los datos gestionados por el SI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Modelos de datos asociados a las aplicaciones constituyentes del SI básico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Múltiples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Unificados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Cualificación y control 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referen-cialidad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y  duplicados de los datos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3" w:name="_Toc422748202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32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Qualitat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tècnica</w:t>
      </w:r>
      <w:proofErr w:type="spellEnd"/>
      <w:r w:rsidRPr="008520B4">
        <w:rPr>
          <w:lang w:val="es-ES"/>
        </w:rPr>
        <w:t xml:space="preserve"> del SI (I)</w:t>
      </w:r>
      <w:bookmarkEnd w:id="3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Calidad Técnica del SI (II)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Fiabilidad general del SI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con soporte efectivo a las tareas para que fueron desarrolladas y planificadas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Tiempo de respuesta de las principales aplicaciones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Lento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Rápido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Portabilidad de las principales aplicaciones del 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Frecuencia de caídas o paras completas de servicio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Posibilidad de realización manual de las actividades asociadas al SI en caso de caída.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Escasa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Tolerancia a fallos y capacidad 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autorrecuperación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Tiempo de recuperación necesario en caso de fallo o parada del SI</w:t>
            </w:r>
          </w:p>
        </w:tc>
        <w:tc>
          <w:tcPr>
            <w:tcW w:w="993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dispersión de las aplicaciones críticas del SI</w:t>
            </w:r>
          </w:p>
        </w:tc>
        <w:tc>
          <w:tcPr>
            <w:tcW w:w="993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Centraliz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Descentral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interoperabilidad entre las principales aplicaciones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Calidad del output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Grado de homogeneidad en las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interficies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y pantallas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Número de aplicaciones que presentan la información en base a formatos de asimilación visual 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que asesoran la forma de recuperarse en caso de error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consistencia entre la información interna al SI y la información presentada al usuario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con posibilidad de imprimir de forma directa los resultados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que permiten al usuario final personalizar los informes o listados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Soporte general del SI a la presentación de resultados en formato electrónico 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4" w:name="_Toc422748203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33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qualitat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tècnica</w:t>
      </w:r>
      <w:proofErr w:type="spellEnd"/>
      <w:r w:rsidRPr="008520B4">
        <w:rPr>
          <w:lang w:val="es-ES"/>
        </w:rPr>
        <w:t xml:space="preserve"> del SI (II)</w:t>
      </w:r>
      <w:bookmarkEnd w:id="4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lastRenderedPageBreak/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Usabilidad del SI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Facilidad de aprendizaje y uso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usuarios finales que acceden diariamente al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Coste o dificultad asociado al usuario final para empezar a utilizar 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Tiempo de conexión requerido para empezar a utilizar 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general de complejidad de las aplicaciones constituyentes del SI</w:t>
            </w:r>
          </w:p>
        </w:tc>
        <w:tc>
          <w:tcPr>
            <w:tcW w:w="993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Tiempo requerido para convertirse en un usuario autosuficiente o experto</w:t>
            </w:r>
          </w:p>
        </w:tc>
        <w:tc>
          <w:tcPr>
            <w:tcW w:w="993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con utilidades de ayuda on-line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del SI con documentación formal de usuario.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Posibilidades 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parametrización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y personalización del SI por parte de los usuarios finales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El aprendizaje del uso del SI requiere algún tipo de activo o formación complementaria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Conocimientos complementarios  adquiridos para aprender a utilizar el SI pueden aprovecharse para propósitos alternativos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Exclusividad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Diversificac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soporte a la formación para los usuarios finales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Nula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Habitual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Número de aplicaciones con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interfícies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gráficas en base a menús, pantallas e iconos intuitivos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5" w:name="_Toc422748204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34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Usabilitat</w:t>
      </w:r>
      <w:proofErr w:type="spellEnd"/>
      <w:r w:rsidRPr="008520B4">
        <w:rPr>
          <w:lang w:val="es-ES"/>
        </w:rPr>
        <w:t xml:space="preserve"> del SI</w:t>
      </w:r>
      <w:bookmarkEnd w:id="5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lastRenderedPageBreak/>
              <w:br w:type="page"/>
            </w: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 xml:space="preserve">Importancia percibida del SI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Importancia percibida 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Rol general del SI en base a la estrategia general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Soporte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Impacto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Tipo de recursos y activos internos explotados principalmente por el SI, en relación con su disponibilidad para los competidores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Homogen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influencia del SI en relación al desarrollo y la aparición de  nuevas prácticas o estándares en el sector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Protección del SI contra la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imitabilidad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a través de barreras institucionales, patentes o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copyrights</w:t>
            </w:r>
            <w:proofErr w:type="spellEnd"/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Carácter estratégico del SI percibido por los competidores</w:t>
            </w:r>
          </w:p>
        </w:tc>
        <w:tc>
          <w:tcPr>
            <w:tcW w:w="993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Arma competitiva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Sistema defensivo</w:t>
            </w: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Punto focal de referencia para las prácticas orientadas a la mejora y el desarrollo de nuevas aplicaciones para el SI</w:t>
            </w:r>
          </w:p>
        </w:tc>
        <w:tc>
          <w:tcPr>
            <w:tcW w:w="993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Prácticas existentes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Innovación</w:t>
            </w: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Posibilidad de obsolescencia del SI actual en base a sistemas similares desarrollados por los competidores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Posibilidad de obsolescencia del SI actual en base al desarrollo de un sistema a través de tecnología alternativa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Capacidad estratégica potencial del SI percibida realmente por la competencia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Facilidad con que puede detectar la competencia los beneficios intangibles derivados del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Facilidad con que puede detectar la competencia el uso real del  SI</w:t>
            </w:r>
          </w:p>
        </w:tc>
        <w:tc>
          <w:tcPr>
            <w:tcW w:w="993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Baja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239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6" w:name="_Toc422748205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35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importància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percebuda</w:t>
      </w:r>
      <w:proofErr w:type="spellEnd"/>
      <w:r w:rsidRPr="008520B4">
        <w:rPr>
          <w:lang w:val="es-ES"/>
        </w:rPr>
        <w:t xml:space="preserve"> del SI</w:t>
      </w:r>
      <w:bookmarkEnd w:id="6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3694"/>
        <w:gridCol w:w="567"/>
        <w:gridCol w:w="425"/>
        <w:gridCol w:w="425"/>
        <w:gridCol w:w="425"/>
        <w:gridCol w:w="426"/>
        <w:gridCol w:w="425"/>
        <w:gridCol w:w="559"/>
        <w:gridCol w:w="567"/>
        <w:gridCol w:w="567"/>
      </w:tblGrid>
      <w:tr w:rsidR="00EB3AE9" w:rsidRPr="008520B4" w:rsidTr="00A1004A">
        <w:trPr>
          <w:cantSplit/>
          <w:trHeight w:val="365"/>
          <w:jc w:val="center"/>
        </w:trPr>
        <w:tc>
          <w:tcPr>
            <w:tcW w:w="4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 xml:space="preserve">Valor de gestión del SI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80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59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209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Valor de gestión</w:t>
            </w:r>
          </w:p>
        </w:tc>
        <w:tc>
          <w:tcPr>
            <w:tcW w:w="369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0" w:after="0" w:line="60" w:lineRule="atLeast"/>
              <w:ind w:firstLine="0"/>
              <w:jc w:val="left"/>
              <w:rPr>
                <w:rFonts w:eastAsia="Times New Roman"/>
                <w:sz w:val="4"/>
                <w:szCs w:val="20"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 posibilidades de mejora</w:t>
            </w: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 posibilidades de mejora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información proporcionado por el SI para las actividades de planificación.</w:t>
            </w:r>
          </w:p>
        </w:tc>
        <w:tc>
          <w:tcPr>
            <w:tcW w:w="567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información proporcionado por el SI para actividades de investigación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información proporcionado por el SI para las actividades de  coordinación de recursos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información proporcionado por el SI para las actividades de liderazgo y supervisión de las relaciones de subordinación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información proporcionado por el SI para las actividades de integración y control 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información proporcionado por el SI para las actividades de gestión del personal o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Staffing</w:t>
            </w:r>
            <w:proofErr w:type="spellEnd"/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información proporcionado por el SI para las actividades de negociación y representación externa 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694" w:type="dxa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Default="00EB3AE9" w:rsidP="00EB3AE9">
      <w:pPr>
        <w:pStyle w:val="Descripcin"/>
        <w:rPr>
          <w:lang w:val="es-ES"/>
        </w:rPr>
      </w:pPr>
      <w:bookmarkStart w:id="7" w:name="_Toc422748206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36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valor de </w:t>
      </w:r>
      <w:proofErr w:type="spellStart"/>
      <w:r w:rsidRPr="008520B4">
        <w:rPr>
          <w:lang w:val="es-ES"/>
        </w:rPr>
        <w:t>gestió</w:t>
      </w:r>
      <w:proofErr w:type="spellEnd"/>
      <w:r w:rsidRPr="008520B4">
        <w:rPr>
          <w:lang w:val="es-ES"/>
        </w:rPr>
        <w:t xml:space="preserve"> del SI</w:t>
      </w:r>
      <w:bookmarkEnd w:id="7"/>
    </w:p>
    <w:p w:rsidR="00EB3AE9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969"/>
        <w:gridCol w:w="567"/>
        <w:gridCol w:w="426"/>
        <w:gridCol w:w="425"/>
        <w:gridCol w:w="425"/>
        <w:gridCol w:w="425"/>
        <w:gridCol w:w="426"/>
        <w:gridCol w:w="559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Innovación Tecnológica (I)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59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21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Innovación Tecnológica</w:t>
            </w:r>
          </w:p>
        </w:tc>
        <w:tc>
          <w:tcPr>
            <w:tcW w:w="396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de adaptación o implantación</w:t>
            </w:r>
          </w:p>
        </w:tc>
        <w:tc>
          <w:tcPr>
            <w:tcW w:w="426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de adaptación o implantación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Cuadros de Mando Integrales para el control estratégico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Introducción de nuevas aplicaciones analíticas para ayudar a la toma de decisiones en  los negocios.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Sistemas de monitorización de servicio 24 x 7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Introducción de Sistemas de Business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Intelligence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orientados a mejorar la gestión del conocimiento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CRM para automatizar la fuerza de ventas y la atención al cliente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SCM para la gestión integral de la cadena de suministro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Actualización y mejora del SI actual a través de los servicios ofrecidos por un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Application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Service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Provider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8" w:name="_Toc422748207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37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innovació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tecnològica</w:t>
      </w:r>
      <w:proofErr w:type="spellEnd"/>
      <w:r w:rsidRPr="008520B4">
        <w:rPr>
          <w:lang w:val="es-ES"/>
        </w:rPr>
        <w:t xml:space="preserve"> I</w:t>
      </w:r>
      <w:bookmarkEnd w:id="8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8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969"/>
        <w:gridCol w:w="567"/>
        <w:gridCol w:w="426"/>
        <w:gridCol w:w="425"/>
        <w:gridCol w:w="425"/>
        <w:gridCol w:w="425"/>
        <w:gridCol w:w="426"/>
        <w:gridCol w:w="559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Innovación Tecnológica (II)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59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Innovación Tecnológica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de adaptación o implantación</w:t>
            </w:r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  <w:tab w:val="center" w:pos="4252"/>
                <w:tab w:val="right" w:pos="8504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 w:val="restart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de adaptación o implantación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Utilización de aplicaciones colaborativas para  mejorar el trabajo en grupo y la comunicación externa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  <w:tab w:val="center" w:pos="4252"/>
                <w:tab w:val="right" w:pos="8504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Adaptar el SI para dar soporte a prácticas de teletrabajo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Adaptar el SI para ofrecer servicios 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teleformación</w:t>
            </w:r>
            <w:proofErr w:type="spellEnd"/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Banca electrónica, dinero digital y sistemas de pago electrónicos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Desarrollo de aplicaciones de comercio electrónico y /o  portales verticales.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Posibilidad de introducir innovaciones con los clientes o proveedores a través del desarrollo de sistemas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Interorganizacionales</w:t>
            </w:r>
            <w:proofErr w:type="spellEnd"/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Adaptar el SI para dar soporte a nuevos canales de comunicación (WAP,WML,UMTS)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1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Default="00EB3AE9" w:rsidP="00EB3AE9">
      <w:pPr>
        <w:pStyle w:val="Descripcin"/>
        <w:rPr>
          <w:lang w:val="es-ES"/>
        </w:rPr>
      </w:pPr>
      <w:bookmarkStart w:id="9" w:name="_Toc422748208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38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innovació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tecnològica</w:t>
      </w:r>
      <w:proofErr w:type="spellEnd"/>
      <w:r w:rsidRPr="008520B4">
        <w:rPr>
          <w:lang w:val="es-ES"/>
        </w:rPr>
        <w:t xml:space="preserve"> II</w:t>
      </w:r>
      <w:bookmarkEnd w:id="9"/>
    </w:p>
    <w:p w:rsidR="00EB3AE9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3918"/>
        <w:gridCol w:w="531"/>
        <w:gridCol w:w="425"/>
        <w:gridCol w:w="425"/>
        <w:gridCol w:w="425"/>
        <w:gridCol w:w="426"/>
        <w:gridCol w:w="425"/>
        <w:gridCol w:w="597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428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Información (I)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9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71"/>
          <w:jc w:val="center"/>
        </w:trPr>
        <w:tc>
          <w:tcPr>
            <w:tcW w:w="371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Información</w:t>
            </w:r>
          </w:p>
        </w:tc>
        <w:tc>
          <w:tcPr>
            <w:tcW w:w="3918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31" w:type="dxa"/>
            <w:vMerge w:val="restart"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 de adaptación o implantación</w:t>
            </w: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 de adaptación o implantación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Desarrollo de canales de distribución basados en información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Desarrollar productos y servicios compartidos por competidores a través de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information</w:t>
            </w:r>
            <w:proofErr w:type="spellEnd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partnerships</w:t>
            </w:r>
            <w:proofErr w:type="spellEnd"/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Expertos para transformar el contenido de la información en conocimiento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EIS para sintetizar y facilitar información decisional de carácter multidimensional y abasto global a la dirección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Intensificar el análisis informativo del SI a través de la implantación de  DSS  para reducir los intervalos de decisión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Utilización de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intelligent</w:t>
            </w:r>
            <w:proofErr w:type="spellEnd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agents</w:t>
            </w:r>
            <w:proofErr w:type="spellEnd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 xml:space="preserve">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>para realizar actividades de control o para la toma de decisiones automáticas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Desarrollo de prototipos o  aplicaciones de simulación para nuestros productos y servicios, en base a   información recogida</w:t>
            </w:r>
          </w:p>
        </w:tc>
        <w:tc>
          <w:tcPr>
            <w:tcW w:w="531" w:type="dxa"/>
            <w:vMerge/>
            <w:tcBorders>
              <w:top w:val="single" w:sz="2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10" w:name="_Toc422748209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39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informació</w:t>
      </w:r>
      <w:proofErr w:type="spellEnd"/>
      <w:r w:rsidRPr="008520B4">
        <w:rPr>
          <w:lang w:val="es-ES"/>
        </w:rPr>
        <w:t xml:space="preserve"> I</w:t>
      </w:r>
      <w:bookmarkEnd w:id="10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3918"/>
        <w:gridCol w:w="531"/>
        <w:gridCol w:w="425"/>
        <w:gridCol w:w="425"/>
        <w:gridCol w:w="425"/>
        <w:gridCol w:w="426"/>
        <w:gridCol w:w="425"/>
        <w:gridCol w:w="597"/>
        <w:gridCol w:w="567"/>
        <w:gridCol w:w="567"/>
      </w:tblGrid>
      <w:tr w:rsidR="00EB3AE9" w:rsidRPr="008520B4" w:rsidTr="00A1004A">
        <w:trPr>
          <w:cantSplit/>
          <w:trHeight w:val="580"/>
          <w:jc w:val="center"/>
        </w:trPr>
        <w:tc>
          <w:tcPr>
            <w:tcW w:w="428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Información (II)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80"/>
          <w:jc w:val="center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9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37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Información</w:t>
            </w:r>
          </w:p>
        </w:tc>
        <w:tc>
          <w:tcPr>
            <w:tcW w:w="391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31" w:type="dxa"/>
            <w:vMerge w:val="restart"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 de adaptación o implantación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 de adaptación o implantación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Expandir las aplicaciones del SI para capturar la información la más cerca posible de la fuente de origen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Expandir las aplicaciones del SI para distribuir  la información a cualquier punto donde sea necesaria o pedida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Utilización de GDSS para poder coordinar actividades de dirección o gestión con independencia de espacio y tiempo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Utilizar la información para definir indicadores de gestión y control para aspectos intangibles o difícilmente cuantificables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Aplicaciones de </w:t>
            </w:r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 xml:space="preserve">Office </w:t>
            </w:r>
            <w:proofErr w:type="spellStart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>Automation</w:t>
            </w:r>
            <w:proofErr w:type="spellEnd"/>
            <w:r w:rsidRPr="008520B4">
              <w:rPr>
                <w:rFonts w:eastAsia="Times New Roman"/>
                <w:i/>
                <w:sz w:val="18"/>
                <w:szCs w:val="20"/>
                <w:lang w:val="es-ES"/>
              </w:rPr>
              <w:t xml:space="preserve"> </w:t>
            </w:r>
            <w:r w:rsidRPr="008520B4">
              <w:rPr>
                <w:rFonts w:eastAsia="Times New Roman"/>
                <w:sz w:val="18"/>
                <w:szCs w:val="20"/>
                <w:lang w:val="es-ES"/>
              </w:rPr>
              <w:t>para gestionar el tratamiento general de la información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Mejorar el SI a través de aplicaciones que permitan predecir necesidades futuras en base a la información contenida a lo largo del SI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Adaptar el SI para dar soporte a nuevos estándares (XML, DTT, CORBA) de intercambio de datos e información entre aplicaciones</w:t>
            </w: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89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918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1381" w:type="dxa"/>
            <w:vMerge/>
            <w:tcBorders>
              <w:top w:val="single" w:sz="18" w:space="0" w:color="auto"/>
              <w:left w:val="nil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  <w:hideMark/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Default="00EB3AE9" w:rsidP="00EB3AE9">
      <w:pPr>
        <w:pStyle w:val="Descripcin"/>
        <w:rPr>
          <w:lang w:val="es-ES"/>
        </w:rPr>
      </w:pPr>
      <w:bookmarkStart w:id="11" w:name="_Toc42274821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40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informació</w:t>
      </w:r>
      <w:proofErr w:type="spellEnd"/>
      <w:r w:rsidRPr="008520B4">
        <w:rPr>
          <w:lang w:val="es-ES"/>
        </w:rPr>
        <w:t xml:space="preserve"> II</w:t>
      </w:r>
      <w:bookmarkEnd w:id="11"/>
    </w:p>
    <w:p w:rsidR="00EB3AE9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69"/>
        <w:gridCol w:w="3759"/>
        <w:gridCol w:w="567"/>
        <w:gridCol w:w="425"/>
        <w:gridCol w:w="425"/>
        <w:gridCol w:w="425"/>
        <w:gridCol w:w="426"/>
        <w:gridCol w:w="425"/>
        <w:gridCol w:w="561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42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Productividad (I)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1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26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Productividad</w:t>
            </w:r>
          </w:p>
        </w:tc>
        <w:tc>
          <w:tcPr>
            <w:tcW w:w="3828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de adaptación</w:t>
            </w: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de adaptación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Dotar de soporte informático a las actividades de I+D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Implantar Sistemas MRP y JIT para optimizar la gestión de materiales y el control de inventarios </w:t>
            </w:r>
          </w:p>
        </w:tc>
        <w:tc>
          <w:tcPr>
            <w:tcW w:w="567" w:type="dxa"/>
            <w:vMerge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Utilización de Sistemas de soporte a la fabricación y el diseño asistido por computadora (CAD/CAE/CAM)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de producción flexible (CIM)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Automatizar la gestión integral de todas las actividades de negocio a través de Sistemas ERP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Sistemas de Proceso Electrónico de Datos (EDP) para automatizar el tratamiento de datos transaccionales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de Información para la gestión financiera</w:t>
            </w:r>
          </w:p>
        </w:tc>
        <w:tc>
          <w:tcPr>
            <w:tcW w:w="567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12" w:name="_Toc422748211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41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productivitat</w:t>
      </w:r>
      <w:proofErr w:type="spellEnd"/>
      <w:r w:rsidRPr="008520B4">
        <w:rPr>
          <w:lang w:val="es-ES"/>
        </w:rPr>
        <w:t xml:space="preserve"> I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69"/>
        <w:gridCol w:w="3759"/>
        <w:gridCol w:w="567"/>
        <w:gridCol w:w="425"/>
        <w:gridCol w:w="425"/>
        <w:gridCol w:w="425"/>
        <w:gridCol w:w="426"/>
        <w:gridCol w:w="425"/>
        <w:gridCol w:w="561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42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Productividad (II)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561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Productividad</w:t>
            </w: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 de adaptación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 w:val="restart"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Facilidad de adaptación</w:t>
            </w: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de información para gestionar actividades de recursos humanos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de información para automatizar la gestión de proveedores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Implantación de Sistemas de Información para automatizar la gestión de clientes</w:t>
            </w:r>
          </w:p>
        </w:tc>
        <w:tc>
          <w:tcPr>
            <w:tcW w:w="567" w:type="dxa"/>
            <w:vMerge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426" w:type="dxa"/>
            <w:vMerge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61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13" w:name="_Toc422748212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42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productivitat</w:t>
      </w:r>
      <w:proofErr w:type="spellEnd"/>
      <w:r w:rsidRPr="008520B4">
        <w:rPr>
          <w:lang w:val="es-ES"/>
        </w:rPr>
        <w:t xml:space="preserve"> II</w:t>
      </w:r>
      <w:bookmarkEnd w:id="13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 w:rsidRPr="008520B4">
        <w:rPr>
          <w:rFonts w:eastAsia="Times New Roman"/>
          <w:sz w:val="20"/>
          <w:szCs w:val="20"/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Personal de TI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técnico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br w:type="page"/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sobre los principales servicio y tecnologías de transmisión y comunicación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sobre las principales plataformas tecnológicas, ordenadores personales, controladores y periféricos actuales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sobre sistemas operativos, paquetes integrados y herramientas de desarrollo existentes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sobre los principales sistemas de almacenamiento y gestores de bases de datos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sobre los nuevos protocolos de comunicación e intercambio electrónico de datos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de las principales metodologías de desarrollo, implantación, análisis y diseño de proyectos informáticos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actividades dirigidas a fomentar la adquisición de nuevos conocimientos técnicos por parte del personal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Hábito y motivación del personal de TI para el aprendizaje de nuevo conocimiento técnico.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resistencia al cambio tecnológico del personal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de negocio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Conocimiento del personal de TI sobre aspectos generales 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management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(planificación, liderazgo,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staffing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organización,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etc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Habilidades y capacidades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perso-nales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de comunicación y expresión que posee el personal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Capacidades personales orientadas a la negociación, establecimiento de consenso y adiestramiento que posee el personal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El personal de TI colabora y ayuda para solucionar problemas generales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Capacidad del personal de TI para prevenir y predecir futuros posibles problemas generales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4" w:name="_Toc422748213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43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>: Personal de TI I</w:t>
      </w:r>
      <w:bookmarkEnd w:id="14"/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Personal de TI (II)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de negocio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Conocimiento del personal de TI sobre las principales actividades funcionales de un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Existencia de actividades dirigidas a fomentar la adquisición de nuevos conocimientos de negocio por parte del personal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Hábito y motivación del personal de TI para el aprendizaje de nuevo conocimiento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15" w:name="_Toc422748214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44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>: personal de TI II</w:t>
      </w:r>
      <w:bookmarkEnd w:id="15"/>
    </w:p>
    <w:p w:rsidR="00EB3AE9" w:rsidRPr="008520B4" w:rsidRDefault="00EB3AE9" w:rsidP="00EB3AE9">
      <w:pPr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lastRenderedPageBreak/>
              <w:t>Tecnología (I)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Infraestructura de TI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br w:type="page"/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Disponibilidad de mecanismos y reglas de actuación para la integración de nuevos componentes tecnológicos en la arquitectura existente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Modo de adquisición por parte de la empresa de nuevos componentes arquitectónicos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Desarrollo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Compra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consistencia en el tratamiento de requerimientos comunes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Heterogéneo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Homogéneo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Número de aplicaciones y servicios accesibles a través de la red principal de la empresa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Ancho de banda soportado por la principal red corporativa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Datos,   texto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Imagen, audio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Ámbito global de alcance y servicio de la red principal corporativa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Intranet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Extranet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y acceso a Internet proporcionado por la principal red corporativa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Redes secundarias para dar soporte local a actividades funcionales (LAN)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Disponib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Diversidad de los canales de comunicación soportados por las redes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Homogen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6" w:name="_Toc422748215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45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tecnologia</w:t>
      </w:r>
      <w:proofErr w:type="spellEnd"/>
      <w:r w:rsidRPr="008520B4">
        <w:rPr>
          <w:lang w:val="es-ES"/>
        </w:rPr>
        <w:t xml:space="preserve"> I</w:t>
      </w:r>
      <w:bookmarkEnd w:id="16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 w:rsidRPr="008520B4">
        <w:rPr>
          <w:rFonts w:eastAsia="Times New Roman"/>
          <w:sz w:val="20"/>
          <w:szCs w:val="20"/>
          <w:lang w:val="es-ES"/>
        </w:rPr>
        <w:br w:type="page"/>
      </w: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Tecnología (II)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Infraestructura de TI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Porcentaje de empleados con acceso a los servicios ofrecidos por la red principal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Dispositivos para la transmisión de datos (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Modems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Routers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Hubbers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etc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Disponib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de la redes para la conexión a través de sistemas remotos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Lenguajes de desarrollo de dominio predominante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Secuencial, Procedural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4 y 5 generación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utilización de herramientas de ingeniería asistida  para el desarrollo (CASE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tools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utilización de herramientas de desarrollo rápido de aplicaciones (RAD)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utilización de herramientas de desarrollo de aplicaciones orientadas a objetos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utilización de herramientas vinculadas al desarrollo de aplicaciones sobre bases de datos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servicio soportado generalmente por las bases de datos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Centralizado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Descentraliz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excelencia en la utilización de bases de datos relacionadas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Dificultad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Dominio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a bases de datos orientadas a objetos y documentales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Almacenes corporativos de datos (DM,DW)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Inexistenc</w:t>
            </w:r>
            <w:proofErr w:type="spellEnd"/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Disponibilid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Diversidad de los sistemas operativos  con los que trabaja la unidad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Homogen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Diversidad de los navegadores  con los que trabaja la unidad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Homogen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Heterogen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mainframes o servidores con multiprocesadores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Servidores centralizados de datos o aplicaciones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Inexistenc</w:t>
            </w:r>
            <w:proofErr w:type="spellEnd"/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Disponibil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Soporte multimedia ofrecido por los terminales utilizados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7" w:name="_Toc422748216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46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tecnologia</w:t>
      </w:r>
      <w:proofErr w:type="spellEnd"/>
      <w:r w:rsidRPr="008520B4">
        <w:rPr>
          <w:lang w:val="es-ES"/>
        </w:rPr>
        <w:t xml:space="preserve"> II</w:t>
      </w:r>
      <w:bookmarkEnd w:id="17"/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Tecnología (III)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Infraestructura de TI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Uso de terminales portátiles , notebooks y net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PC’s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Los periféricos básicos de entrada (teclados,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mouses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,disquetes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CD’s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>) ofrecen soporte adecuado a las necesidades de utilización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Los periféricos básicos de salida (pantallas, proyectores, impresoras 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scaners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grabadoras) ofrecen soporte adecuado a las necesidades de utilización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Standards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Nivel de soporte Bajo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Nivel de soporte Alto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general de soporte de la arquitectura de TI  al modelo de referencia de Sistemas Abiertos Interconectados (OSI)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las normativas de gestión de calidad definidos por la ISO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las redes de área local (LAN) disponibles de los estándar y recomendaciones de la IE3 (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Ethernets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Bridges,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Routers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FDDI, ISDN,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FrameRelay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ATM,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etc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) 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uso de los estándar de definición y manipulación de bases de datos definidos por SQL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soporte para </w:t>
            </w:r>
            <w:proofErr w:type="gram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los estándar</w:t>
            </w:r>
            <w:proofErr w:type="gram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OLE de compartición e integración de objetos entre aplicaciones.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los estándar CORBA/DCOM de comunicación entre aplicaciones distribuidas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plataformas hardware y procesadores estandarizados (RISC/CISC; Intel/AMD)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Uso de los Sistemas Operativos UNIX/POSIX, Windows y Novel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a los protocolos de comunicación de redes locales TCP/IP o IPX/SPX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s-ES"/>
        </w:rPr>
      </w:pPr>
      <w:bookmarkStart w:id="18" w:name="_Toc422748217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47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tecnologia</w:t>
      </w:r>
      <w:proofErr w:type="spellEnd"/>
      <w:r w:rsidRPr="008520B4">
        <w:rPr>
          <w:lang w:val="es-ES"/>
        </w:rPr>
        <w:t xml:space="preserve"> III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387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Tecnología (IV)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  <w:r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</w:t>
            </w: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 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Standards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Nivel de soporte Bajo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Nivel de soporte 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uso de Java para el desarrollo de las aplicaciones  Cliente/Servidor 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a los estándar ODBC para la independencia de las aplicaciones respecto a los datos utilizados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los estándar de presentación de contenidos HTML/DHTM, JavaScript/JSP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los estándar de acceso a servicios y contenidos a través de Internet (WAP)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 los estándar de presentación de contenidos sobre dispositivos con pantallas de dimensiones reducidas (WML)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los estándar de aplicaciones con tecnología inalámbrica (WTA)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soporte para los estándar de acceso a contenidos y servicios de información en formato heterogéneo (UMTS)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uso de los estándar de diseño y desarrollo de aplicaciones (UML)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19" w:name="_Toc422748218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48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tecnologia</w:t>
      </w:r>
      <w:proofErr w:type="spellEnd"/>
      <w:r w:rsidRPr="008520B4">
        <w:rPr>
          <w:lang w:val="es-ES"/>
        </w:rPr>
        <w:t xml:space="preserve"> IV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Relación Negocio-TI (I)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136"/>
          <w:jc w:val="center"/>
        </w:trPr>
        <w:tc>
          <w:tcPr>
            <w:tcW w:w="41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Partnership</w:t>
            </w:r>
            <w:proofErr w:type="spellEnd"/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20"/>
                <w:szCs w:val="20"/>
                <w:lang w:val="es-ES"/>
              </w:rPr>
              <w:br w:type="page"/>
              <w:t xml:space="preserve">El 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El personal  de negocio y el de TI comparten la visión y los objetivos sobre como las TI dan soporte al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Los ejecutivos de negocio y de TI comprenden mutuamente el alcance y los límites de sus respectivas responsabilidades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Grado de confianza mutua entre el  personal de negocio y el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Mínima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Máxima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Canales de comunicación formales entre el personal de negocio y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Inexistentes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Existentes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s-ES"/>
        </w:rPr>
      </w:pPr>
      <w:bookmarkStart w:id="20" w:name="_Toc422748219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49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relació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negoci</w:t>
      </w:r>
      <w:proofErr w:type="spellEnd"/>
      <w:r w:rsidRPr="008520B4">
        <w:rPr>
          <w:lang w:val="es-ES"/>
        </w:rPr>
        <w:t>-TI I</w:t>
      </w:r>
      <w:bookmarkEnd w:id="20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 w:rsidRPr="008520B4">
        <w:rPr>
          <w:rFonts w:eastAsia="Times New Roman"/>
          <w:sz w:val="20"/>
          <w:szCs w:val="20"/>
          <w:lang w:val="es-ES"/>
        </w:rPr>
        <w:br w:type="page"/>
      </w: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835"/>
        <w:gridCol w:w="993"/>
        <w:gridCol w:w="425"/>
        <w:gridCol w:w="425"/>
        <w:gridCol w:w="425"/>
        <w:gridCol w:w="426"/>
        <w:gridCol w:w="425"/>
        <w:gridCol w:w="992"/>
        <w:gridCol w:w="567"/>
        <w:gridCol w:w="567"/>
      </w:tblGrid>
      <w:tr w:rsidR="00EB3AE9" w:rsidRPr="008520B4" w:rsidTr="00A1004A">
        <w:trPr>
          <w:cantSplit/>
          <w:trHeight w:val="619"/>
          <w:jc w:val="center"/>
        </w:trPr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Relación Negocio-TI (II)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771"/>
          <w:jc w:val="center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Canales de comunicación informales entre el personal de negocio y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Inexistentes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Existentes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Porcentaje de proyectos de TI que son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esponsorizados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por un ejecutivo de negocio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Nivel de consulta mutua entre los ejecutivos de TI y de negocio para la toma de decisiones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Puntual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Habitual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intercambio de información de conocimientos entre el personal de negocio y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Puntual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Habitual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Los ejecutivos de negocio y TI suelen compartir riesgos a la hora de tomar decisiones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Nunca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Siempre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Nivel de impacto de la relación entre el personal de negocio y TI  para crear un entorno de trabajo positivo y agradable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Bajo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Red social de relaciones personales entre el personal de negocio y de TI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Inexistente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Existentes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Los ejecutivos de negocio y de TI están satisfechos mutuamente con sus habilidades y capacidades interpersonales  para comunicarse y negociar entre ellos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Pocos</w:t>
            </w: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Muchos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315"/>
          <w:jc w:val="center"/>
        </w:trPr>
        <w:tc>
          <w:tcPr>
            <w:tcW w:w="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s-ES"/>
        </w:rPr>
      </w:pPr>
      <w:bookmarkStart w:id="21" w:name="_Toc42274822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50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relació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negoci</w:t>
      </w:r>
      <w:proofErr w:type="spellEnd"/>
      <w:r w:rsidRPr="008520B4">
        <w:rPr>
          <w:lang w:val="es-ES"/>
        </w:rPr>
        <w:t>-TI II</w:t>
      </w:r>
      <w:bookmarkEnd w:id="21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rFonts w:eastAsia="Times New Roman"/>
          <w:sz w:val="20"/>
          <w:szCs w:val="20"/>
          <w:lang w:val="es-ES"/>
        </w:rPr>
      </w:pPr>
      <w:r w:rsidRPr="008520B4">
        <w:rPr>
          <w:rFonts w:eastAsia="Times New Roman"/>
          <w:sz w:val="20"/>
          <w:szCs w:val="20"/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2977"/>
        <w:gridCol w:w="777"/>
        <w:gridCol w:w="425"/>
        <w:gridCol w:w="425"/>
        <w:gridCol w:w="425"/>
        <w:gridCol w:w="426"/>
        <w:gridCol w:w="425"/>
        <w:gridCol w:w="783"/>
        <w:gridCol w:w="708"/>
        <w:gridCol w:w="635"/>
      </w:tblGrid>
      <w:tr w:rsidR="00EB3AE9" w:rsidRPr="008520B4" w:rsidTr="00A1004A">
        <w:trPr>
          <w:cantSplit/>
          <w:jc w:val="center"/>
        </w:trPr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n-US"/>
              </w:rPr>
              <w:lastRenderedPageBreak/>
              <w:t>Domestic Model of  IT Impact (I)</w:t>
            </w:r>
          </w:p>
        </w:tc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895"/>
          <w:jc w:val="center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783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6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Clientes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20" w:line="60" w:lineRule="atLeast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2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2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2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2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Poner a disposición de los clientes bases de datos con información de productos y servicios</w:t>
            </w:r>
          </w:p>
        </w:tc>
        <w:tc>
          <w:tcPr>
            <w:tcW w:w="777" w:type="dxa"/>
            <w:vMerge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Soporte administrativo a actividades realizadas por los clientes</w:t>
            </w:r>
          </w:p>
        </w:tc>
        <w:tc>
          <w:tcPr>
            <w:tcW w:w="777" w:type="dxa"/>
            <w:vMerge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Ayudar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o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ofrecer servicio a clientes en diferentes zonas geográficas y/o con diferentes necesidades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Rivalidad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Adelantarse a la competencia para ser los primeros en poner en práctica una acción competitiva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Proporcionar nuevos servicios sustitutivos antes de que lo hagan los competidores</w:t>
            </w:r>
          </w:p>
        </w:tc>
        <w:tc>
          <w:tcPr>
            <w:tcW w:w="777" w:type="dxa"/>
            <w:vMerge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Copiar ofertas de servicio innovadoras  realizadas por los competidores</w:t>
            </w:r>
          </w:p>
        </w:tc>
        <w:tc>
          <w:tcPr>
            <w:tcW w:w="777" w:type="dxa"/>
            <w:vMerge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Especializarse en un determinado mercado local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Proveedores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Identificación de proveedores alternativos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Identificación de material productivo alternativo y más útil que el proporcionado por los  actuales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Mercados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Identificación de nuevos negocios posibles a través de la tecnología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Identificar tendencias generales de mercado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Descubrir nuevos mercados a través de la tecnología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Vender los mismos productos en otros lugares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n-US"/>
        </w:rPr>
      </w:pPr>
      <w:bookmarkStart w:id="22" w:name="_Toc422748221"/>
      <w:proofErr w:type="spellStart"/>
      <w:r w:rsidRPr="008520B4">
        <w:rPr>
          <w:lang w:val="en-US"/>
        </w:rPr>
        <w:t>Taula</w:t>
      </w:r>
      <w:proofErr w:type="spellEnd"/>
      <w:r w:rsidRPr="008520B4">
        <w:rPr>
          <w:lang w:val="en-US"/>
        </w:rPr>
        <w:t xml:space="preserve"> </w:t>
      </w:r>
      <w:r w:rsidRPr="008520B4">
        <w:rPr>
          <w:lang w:val="es-ES"/>
        </w:rPr>
        <w:fldChar w:fldCharType="begin"/>
      </w:r>
      <w:r w:rsidRPr="008520B4">
        <w:rPr>
          <w:lang w:val="en-U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n-US"/>
        </w:rPr>
        <w:t>51</w:t>
      </w:r>
      <w:r w:rsidRPr="008520B4">
        <w:rPr>
          <w:lang w:val="es-ES"/>
        </w:rPr>
        <w:fldChar w:fldCharType="end"/>
      </w:r>
      <w:r w:rsidRPr="008520B4">
        <w:rPr>
          <w:lang w:val="en-US"/>
        </w:rPr>
        <w:t xml:space="preserve">: Domestic Model </w:t>
      </w:r>
      <w:proofErr w:type="gramStart"/>
      <w:r w:rsidRPr="008520B4">
        <w:rPr>
          <w:lang w:val="en-US"/>
        </w:rPr>
        <w:t>of  IT</w:t>
      </w:r>
      <w:proofErr w:type="gramEnd"/>
      <w:r w:rsidRPr="008520B4">
        <w:rPr>
          <w:lang w:val="en-US"/>
        </w:rPr>
        <w:t xml:space="preserve"> Impact I</w:t>
      </w:r>
      <w:bookmarkEnd w:id="22"/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2977"/>
        <w:gridCol w:w="777"/>
        <w:gridCol w:w="425"/>
        <w:gridCol w:w="425"/>
        <w:gridCol w:w="425"/>
        <w:gridCol w:w="426"/>
        <w:gridCol w:w="425"/>
        <w:gridCol w:w="783"/>
        <w:gridCol w:w="708"/>
        <w:gridCol w:w="635"/>
      </w:tblGrid>
      <w:tr w:rsidR="00EB3AE9" w:rsidRPr="008520B4" w:rsidTr="00A1004A">
        <w:trPr>
          <w:cantSplit/>
          <w:jc w:val="center"/>
        </w:trPr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n-US"/>
              </w:rPr>
              <w:lastRenderedPageBreak/>
              <w:t>Domestic Model of  IT Impact (II)</w:t>
            </w:r>
          </w:p>
        </w:tc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895"/>
          <w:jc w:val="center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783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6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Economías de ámbito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Incrementar el número de mercados en los que se compite con los recursos actuales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Hacer más grande el mercado actual manteniendo fijos los recursos empleados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Eficiencia y eficacia interna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Introducir mejoras en los procesos de planificación estratégica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Actuar como factor dinamizador  principal  de cambio organizativo en el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Eficiencia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interorganizacional</w:t>
            </w:r>
            <w:proofErr w:type="spellEnd"/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Mejorar la comunicación y coordinación con los principales agentes del entorno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Establecer contactos y acuerdos formales con competidores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Facilitar la realización de inversión financiera en distintos lugares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Downsizing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Posibilidad de contratar o externalizar distintas actividades de la cadena de valor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Consolidar y delegar la realización de distintas operaciones de forma geográficamente distribuida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Transferencia de know-how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Rápido aprendizaje de nuevos conocimientos tecnológicos y de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Intercambio de conocimientos entre lugares remotos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rFonts w:eastAsia="Times New Roman"/>
          <w:sz w:val="20"/>
          <w:szCs w:val="20"/>
          <w:lang w:val="en-US"/>
        </w:rPr>
      </w:pPr>
      <w:bookmarkStart w:id="23" w:name="_Toc422748222"/>
      <w:proofErr w:type="spellStart"/>
      <w:r w:rsidRPr="008520B4">
        <w:rPr>
          <w:lang w:val="en-US"/>
        </w:rPr>
        <w:t>Taula</w:t>
      </w:r>
      <w:proofErr w:type="spellEnd"/>
      <w:r w:rsidRPr="008520B4">
        <w:rPr>
          <w:lang w:val="en-US"/>
        </w:rPr>
        <w:t xml:space="preserve"> </w:t>
      </w:r>
      <w:r w:rsidRPr="008520B4">
        <w:rPr>
          <w:lang w:val="es-ES"/>
        </w:rPr>
        <w:fldChar w:fldCharType="begin"/>
      </w:r>
      <w:r w:rsidRPr="008520B4">
        <w:rPr>
          <w:lang w:val="en-U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n-US"/>
        </w:rPr>
        <w:t>52</w:t>
      </w:r>
      <w:r w:rsidRPr="008520B4">
        <w:rPr>
          <w:lang w:val="es-ES"/>
        </w:rPr>
        <w:fldChar w:fldCharType="end"/>
      </w:r>
      <w:r w:rsidRPr="008520B4">
        <w:rPr>
          <w:lang w:val="en-US"/>
        </w:rPr>
        <w:t xml:space="preserve">: Domestic Model </w:t>
      </w:r>
      <w:proofErr w:type="gramStart"/>
      <w:r w:rsidRPr="008520B4">
        <w:rPr>
          <w:lang w:val="en-US"/>
        </w:rPr>
        <w:t>of  IT</w:t>
      </w:r>
      <w:proofErr w:type="gramEnd"/>
      <w:r w:rsidRPr="008520B4">
        <w:rPr>
          <w:lang w:val="en-US"/>
        </w:rPr>
        <w:t xml:space="preserve"> Impact II</w:t>
      </w:r>
      <w:bookmarkEnd w:id="23"/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p w:rsidR="00EB3AE9" w:rsidRPr="008520B4" w:rsidRDefault="00EB3AE9" w:rsidP="00EB3AE9">
      <w:pPr>
        <w:spacing w:before="0" w:after="0" w:line="240" w:lineRule="auto"/>
        <w:ind w:firstLine="0"/>
        <w:jc w:val="left"/>
        <w:rPr>
          <w:rFonts w:eastAsia="Times New Roman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2977"/>
        <w:gridCol w:w="777"/>
        <w:gridCol w:w="425"/>
        <w:gridCol w:w="425"/>
        <w:gridCol w:w="425"/>
        <w:gridCol w:w="426"/>
        <w:gridCol w:w="425"/>
        <w:gridCol w:w="783"/>
        <w:gridCol w:w="708"/>
        <w:gridCol w:w="635"/>
      </w:tblGrid>
      <w:tr w:rsidR="00EB3AE9" w:rsidRPr="008520B4" w:rsidTr="00A1004A">
        <w:trPr>
          <w:cantSplit/>
          <w:jc w:val="center"/>
        </w:trPr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pBdr>
                <w:bottom w:val="single" w:sz="4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n-US"/>
              </w:rPr>
              <w:t>Domestic Model of  IT Impact (III)</w:t>
            </w:r>
          </w:p>
        </w:tc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Nivel de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righ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 Repulsión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 xml:space="preserve">Nivel de 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b/>
                <w:sz w:val="17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7"/>
                <w:szCs w:val="20"/>
                <w:lang w:val="es-ES"/>
              </w:rPr>
              <w:t>Atracción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trHeight w:val="813"/>
          <w:jc w:val="center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Neutral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Media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Alta</w:t>
            </w:r>
          </w:p>
        </w:tc>
        <w:tc>
          <w:tcPr>
            <w:tcW w:w="783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Ponde</w:t>
            </w:r>
            <w:proofErr w:type="spellEnd"/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-</w:t>
            </w:r>
          </w:p>
          <w:p w:rsidR="00EB3AE9" w:rsidRPr="008520B4" w:rsidRDefault="00EB3AE9" w:rsidP="00A1004A">
            <w:pPr>
              <w:tabs>
                <w:tab w:val="left" w:pos="993"/>
              </w:tabs>
              <w:spacing w:before="2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ración</w:t>
            </w:r>
          </w:p>
        </w:tc>
        <w:tc>
          <w:tcPr>
            <w:tcW w:w="635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Total</w:t>
            </w: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Recursos propios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Asistencia en la obtención de productos acabados o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semiacabados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de las fuentes más beneficiosas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Permitir acuerdos de financiación y obtención de fondos de las fuentes más beneficiosas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Requisitos gubernamentales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Soporte a los objetivos y políticas sociales del país o región donde está localizada la unidad de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Ofrecer soporte tecnológico a los requisitos de control interno del país o región donde está localizada la unidad de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Ofrecer soporte tecnológico a los requisitos fiscales del país o región donde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esta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localizada la unidad de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Soporte a la eliminación de barreras sociales, culturales, o etnológicas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Alianzas y expansión</w:t>
            </w: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Amenaza</w:t>
            </w: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18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Oportunidad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>Soporte al lanzamiento de filiales o nuevas unidades de negocio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Desarrollo de alianzas,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partnerships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,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joint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</w:t>
            </w:r>
            <w:proofErr w:type="spellStart"/>
            <w:r w:rsidRPr="008520B4">
              <w:rPr>
                <w:rFonts w:eastAsia="Times New Roman"/>
                <w:sz w:val="18"/>
                <w:szCs w:val="20"/>
                <w:lang w:val="es-ES"/>
              </w:rPr>
              <w:t>ventures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/>
              </w:rPr>
              <w:t xml:space="preserve"> o acuerdos estratégicos</w:t>
            </w: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EB3AE9" w:rsidRPr="008520B4" w:rsidTr="00A1004A">
        <w:trPr>
          <w:cantSplit/>
          <w:jc w:val="center"/>
        </w:trPr>
        <w:tc>
          <w:tcPr>
            <w:tcW w:w="63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dashed" w:sz="4" w:space="0" w:color="auto"/>
              <w:left w:val="single" w:sz="8" w:space="0" w:color="auto"/>
              <w:bottom w:val="single" w:sz="18" w:space="0" w:color="auto"/>
              <w:right w:val="nil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left="113" w:right="113" w:firstLine="0"/>
              <w:jc w:val="center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3AE9" w:rsidRPr="008520B4" w:rsidRDefault="00EB3AE9" w:rsidP="00A1004A">
            <w:pPr>
              <w:keepNext/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</w:tbl>
    <w:p w:rsidR="00EB3AE9" w:rsidRPr="008520B4" w:rsidRDefault="00EB3AE9" w:rsidP="00EB3AE9">
      <w:pPr>
        <w:pStyle w:val="Descripcin"/>
        <w:rPr>
          <w:lang w:val="en-US"/>
        </w:rPr>
      </w:pPr>
      <w:bookmarkStart w:id="24" w:name="_Toc422748223"/>
      <w:proofErr w:type="spellStart"/>
      <w:r w:rsidRPr="008520B4">
        <w:rPr>
          <w:lang w:val="en-US"/>
        </w:rPr>
        <w:t>Taula</w:t>
      </w:r>
      <w:proofErr w:type="spellEnd"/>
      <w:r w:rsidRPr="008520B4">
        <w:rPr>
          <w:lang w:val="en-US"/>
        </w:rPr>
        <w:t xml:space="preserve"> </w:t>
      </w:r>
      <w:r w:rsidRPr="008520B4">
        <w:rPr>
          <w:lang w:val="es-ES"/>
        </w:rPr>
        <w:fldChar w:fldCharType="begin"/>
      </w:r>
      <w:r w:rsidRPr="008520B4">
        <w:rPr>
          <w:lang w:val="en-U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n-US"/>
        </w:rPr>
        <w:t>53</w:t>
      </w:r>
      <w:r w:rsidRPr="008520B4">
        <w:rPr>
          <w:lang w:val="es-ES"/>
        </w:rPr>
        <w:fldChar w:fldCharType="end"/>
      </w:r>
      <w:r w:rsidRPr="008520B4">
        <w:rPr>
          <w:lang w:val="en-US"/>
        </w:rPr>
        <w:t xml:space="preserve">: Domestic Model </w:t>
      </w:r>
      <w:proofErr w:type="gramStart"/>
      <w:r w:rsidRPr="008520B4">
        <w:rPr>
          <w:lang w:val="en-US"/>
        </w:rPr>
        <w:t>of  IT</w:t>
      </w:r>
      <w:proofErr w:type="gramEnd"/>
      <w:r w:rsidRPr="008520B4">
        <w:rPr>
          <w:lang w:val="en-US"/>
        </w:rPr>
        <w:t xml:space="preserve"> Impact III</w:t>
      </w:r>
      <w:bookmarkEnd w:id="24"/>
    </w:p>
    <w:p w:rsidR="00EB3AE9" w:rsidRPr="008520B4" w:rsidRDefault="00EB3AE9" w:rsidP="00EB3AE9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n-US"/>
        </w:rPr>
      </w:pPr>
      <w:r w:rsidRPr="008520B4">
        <w:rPr>
          <w:lang w:val="en-US"/>
        </w:rPr>
        <w:br w:type="page"/>
      </w:r>
    </w:p>
    <w:p w:rsidR="00004709" w:rsidRDefault="00004709"/>
    <w:sectPr w:rsidR="0000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0AD1"/>
    <w:multiLevelType w:val="multilevel"/>
    <w:tmpl w:val="4F5039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E9"/>
    <w:rsid w:val="00004709"/>
    <w:rsid w:val="00E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8C05B-38D3-4FA5-9BCC-1C6C08BB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E9"/>
    <w:pPr>
      <w:spacing w:before="120" w:after="240" w:line="360" w:lineRule="auto"/>
      <w:ind w:firstLine="284"/>
      <w:jc w:val="both"/>
    </w:pPr>
    <w:rPr>
      <w:rFonts w:ascii="Tahoma" w:eastAsiaTheme="minorEastAsia" w:hAnsi="Tahoma" w:cs="Tahoma"/>
      <w:lang w:val="ca-ES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EB3AE9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B3AE9"/>
    <w:pPr>
      <w:numPr>
        <w:ilvl w:val="1"/>
      </w:numPr>
      <w:outlineLvl w:val="1"/>
    </w:pPr>
    <w:rPr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B3AE9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B3AE9"/>
    <w:pPr>
      <w:numPr>
        <w:ilvl w:val="3"/>
      </w:numPr>
      <w:outlineLvl w:val="3"/>
    </w:pPr>
    <w:rPr>
      <w:b w:val="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AE9"/>
    <w:rPr>
      <w:rFonts w:ascii="Tahoma" w:eastAsiaTheme="majorEastAsia" w:hAnsi="Tahoma" w:cs="Tahoma"/>
      <w:sz w:val="32"/>
      <w:szCs w:val="32"/>
      <w:lang w:val="ca-ES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EB3AE9"/>
    <w:rPr>
      <w:rFonts w:ascii="Tahoma" w:eastAsiaTheme="majorEastAsia" w:hAnsi="Tahoma" w:cs="Tahoma"/>
      <w:sz w:val="28"/>
      <w:szCs w:val="28"/>
      <w:lang w:val="ca-ES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EB3AE9"/>
    <w:rPr>
      <w:rFonts w:ascii="Tahoma" w:eastAsiaTheme="minorEastAsia" w:hAnsi="Tahoma" w:cs="Tahoma"/>
      <w:b/>
      <w:lang w:val="ca-ES"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EB3AE9"/>
    <w:rPr>
      <w:rFonts w:ascii="Tahoma" w:eastAsiaTheme="minorEastAsia" w:hAnsi="Tahoma" w:cs="Tahoma"/>
      <w:lang w:val="ca-ES"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AE9"/>
    <w:rPr>
      <w:rFonts w:asciiTheme="majorHAnsi" w:eastAsiaTheme="majorEastAsia" w:hAnsiTheme="majorHAnsi" w:cstheme="majorBidi"/>
      <w:i/>
      <w:iCs/>
      <w:color w:val="1F4D78" w:themeColor="accent1" w:themeShade="7F"/>
      <w:lang w:val="ca-ES" w:eastAsia="zh-TW"/>
    </w:rPr>
  </w:style>
  <w:style w:type="paragraph" w:styleId="Prrafodelista">
    <w:name w:val="List Paragraph"/>
    <w:basedOn w:val="Normal"/>
    <w:uiPriority w:val="34"/>
    <w:qFormat/>
    <w:rsid w:val="00EB3A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AE9"/>
    <w:rPr>
      <w:rFonts w:ascii="Tahoma" w:eastAsiaTheme="minorEastAsia" w:hAnsi="Tahoma" w:cs="Tahoma"/>
      <w:lang w:val="ca-ES" w:eastAsia="zh-TW"/>
    </w:rPr>
  </w:style>
  <w:style w:type="paragraph" w:styleId="Piedepgina">
    <w:name w:val="footer"/>
    <w:basedOn w:val="Normal"/>
    <w:link w:val="PiedepginaCar"/>
    <w:uiPriority w:val="99"/>
    <w:unhideWhenUsed/>
    <w:rsid w:val="00EB3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AE9"/>
    <w:rPr>
      <w:rFonts w:ascii="Tahoma" w:eastAsiaTheme="minorEastAsia" w:hAnsi="Tahoma" w:cs="Tahoma"/>
      <w:lang w:val="ca-ES" w:eastAsia="zh-TW"/>
    </w:rPr>
  </w:style>
  <w:style w:type="paragraph" w:styleId="TtulodeTDC">
    <w:name w:val="TOC Heading"/>
    <w:basedOn w:val="Ttulo1"/>
    <w:next w:val="Normal"/>
    <w:link w:val="TtulodeTDCCar"/>
    <w:uiPriority w:val="39"/>
    <w:unhideWhenUsed/>
    <w:qFormat/>
    <w:rsid w:val="00EB3AE9"/>
    <w:pPr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EB3AE9"/>
    <w:pPr>
      <w:tabs>
        <w:tab w:val="left" w:pos="880"/>
        <w:tab w:val="right" w:leader="dot" w:pos="8494"/>
      </w:tabs>
      <w:spacing w:before="0" w:after="0"/>
    </w:pPr>
  </w:style>
  <w:style w:type="paragraph" w:styleId="TDC2">
    <w:name w:val="toc 2"/>
    <w:basedOn w:val="Normal"/>
    <w:next w:val="Normal"/>
    <w:autoRedefine/>
    <w:uiPriority w:val="39"/>
    <w:unhideWhenUsed/>
    <w:rsid w:val="00EB3AE9"/>
    <w:pPr>
      <w:tabs>
        <w:tab w:val="left" w:pos="1100"/>
        <w:tab w:val="right" w:leader="dot" w:pos="8494"/>
      </w:tabs>
      <w:spacing w:before="0" w:after="0"/>
      <w:ind w:left="221"/>
    </w:pPr>
  </w:style>
  <w:style w:type="character" w:styleId="Hipervnculo">
    <w:name w:val="Hyperlink"/>
    <w:basedOn w:val="Fuentedeprrafopredeter"/>
    <w:uiPriority w:val="99"/>
    <w:unhideWhenUsed/>
    <w:rsid w:val="00EB3AE9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B3AE9"/>
    <w:pPr>
      <w:spacing w:before="0" w:after="100" w:line="259" w:lineRule="auto"/>
      <w:ind w:left="440" w:firstLine="0"/>
      <w:jc w:val="left"/>
    </w:pPr>
    <w:rPr>
      <w:rFonts w:asciiTheme="minorHAnsi" w:hAnsiTheme="minorHAnsi" w:cs="Times New Roman"/>
      <w:lang w:val="es-ES"/>
    </w:rPr>
  </w:style>
  <w:style w:type="paragraph" w:customStyle="1" w:styleId="ndex">
    <w:name w:val="Índex"/>
    <w:basedOn w:val="TDC1"/>
    <w:link w:val="ndexCar"/>
    <w:qFormat/>
    <w:rsid w:val="00EB3AE9"/>
    <w:rPr>
      <w:noProof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B3AE9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3AE9"/>
    <w:rPr>
      <w:rFonts w:ascii="Tahoma" w:eastAsiaTheme="minorEastAsia" w:hAnsi="Tahoma" w:cs="Tahoma"/>
      <w:sz w:val="20"/>
      <w:szCs w:val="20"/>
      <w:lang w:val="ca-ES" w:eastAsia="zh-TW"/>
    </w:rPr>
  </w:style>
  <w:style w:type="character" w:customStyle="1" w:styleId="TtulodeTDCCar">
    <w:name w:val="Título de TDC Car"/>
    <w:basedOn w:val="Ttulo1Car"/>
    <w:link w:val="TtulodeTDC"/>
    <w:uiPriority w:val="39"/>
    <w:rsid w:val="00EB3A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 w:eastAsia="zh-TW"/>
    </w:rPr>
  </w:style>
  <w:style w:type="character" w:customStyle="1" w:styleId="ndexCar">
    <w:name w:val="Índex Car"/>
    <w:basedOn w:val="TtulodeTDCCar"/>
    <w:link w:val="ndex"/>
    <w:rsid w:val="00EB3AE9"/>
    <w:rPr>
      <w:rFonts w:ascii="Tahoma" w:eastAsiaTheme="minorEastAsia" w:hAnsi="Tahoma" w:cs="Tahoma"/>
      <w:noProof/>
      <w:color w:val="2E74B5" w:themeColor="accent1" w:themeShade="BF"/>
      <w:sz w:val="32"/>
      <w:szCs w:val="32"/>
      <w:lang w:val="ca-ES" w:eastAsia="zh-TW"/>
    </w:rPr>
  </w:style>
  <w:style w:type="character" w:styleId="Refdenotaalfinal">
    <w:name w:val="endnote reference"/>
    <w:basedOn w:val="Fuentedeprrafopredeter"/>
    <w:uiPriority w:val="99"/>
    <w:semiHidden/>
    <w:unhideWhenUsed/>
    <w:rsid w:val="00EB3AE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B3AE9"/>
    <w:rPr>
      <w:color w:val="808080"/>
    </w:rPr>
  </w:style>
  <w:style w:type="character" w:customStyle="1" w:styleId="apple-converted-space">
    <w:name w:val="apple-converted-space"/>
    <w:basedOn w:val="Fuentedeprrafopredeter"/>
    <w:rsid w:val="00EB3AE9"/>
  </w:style>
  <w:style w:type="character" w:customStyle="1" w:styleId="hiddenspellerror">
    <w:name w:val="hiddenspellerror"/>
    <w:basedOn w:val="Fuentedeprrafopredeter"/>
    <w:rsid w:val="00EB3AE9"/>
  </w:style>
  <w:style w:type="paragraph" w:styleId="NormalWeb">
    <w:name w:val="Normal (Web)"/>
    <w:basedOn w:val="Normal"/>
    <w:uiPriority w:val="99"/>
    <w:unhideWhenUsed/>
    <w:rsid w:val="00EB3AE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concuadrcula">
    <w:name w:val="Table Grid"/>
    <w:basedOn w:val="Tablanormal"/>
    <w:uiPriority w:val="39"/>
    <w:rsid w:val="00EB3AE9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EB3AE9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3AE9"/>
    <w:rPr>
      <w:rFonts w:eastAsiaTheme="minorEastAsia"/>
      <w:lang w:val="ca-ES" w:eastAsia="ca-ES"/>
    </w:rPr>
  </w:style>
  <w:style w:type="paragraph" w:styleId="Descripcin">
    <w:name w:val="caption"/>
    <w:basedOn w:val="Normal"/>
    <w:next w:val="Normal"/>
    <w:uiPriority w:val="35"/>
    <w:unhideWhenUsed/>
    <w:qFormat/>
    <w:rsid w:val="00EB3AE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B3AE9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EB3AE9"/>
    <w:rPr>
      <w:color w:val="954F72" w:themeColor="followedHyperlink"/>
      <w:u w:val="single"/>
    </w:rPr>
  </w:style>
  <w:style w:type="table" w:styleId="Tabladecuadrcula4-nfasis1">
    <w:name w:val="Grid Table 4 Accent 1"/>
    <w:basedOn w:val="Tablanormal"/>
    <w:uiPriority w:val="49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iddengreenerror">
    <w:name w:val="hiddengreenerror"/>
    <w:basedOn w:val="Fuentedeprrafopredeter"/>
    <w:rsid w:val="00EB3AE9"/>
  </w:style>
  <w:style w:type="table" w:styleId="Tabladecuadrcula5oscura-nfasis5">
    <w:name w:val="Grid Table 5 Dark Accent 5"/>
    <w:basedOn w:val="Tablanormal"/>
    <w:uiPriority w:val="50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">
    <w:name w:val="Grid Table 4"/>
    <w:basedOn w:val="Tablanormal"/>
    <w:uiPriority w:val="49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EB3AE9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B3AE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AE9"/>
    <w:rPr>
      <w:rFonts w:ascii="Segoe UI" w:eastAsiaTheme="minorEastAsia" w:hAnsi="Segoe UI" w:cs="Segoe UI"/>
      <w:sz w:val="18"/>
      <w:szCs w:val="18"/>
      <w:lang w:val="ca-E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4467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28981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2015-10-01T06:49:00Z</dcterms:created>
  <dcterms:modified xsi:type="dcterms:W3CDTF">2015-10-01T06:58:00Z</dcterms:modified>
</cp:coreProperties>
</file>