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mbria" w:cs="Cambria" w:eastAsia="Cambria" w:hAnsi="Cambria"/>
          <w:b/>
          <w:bCs/>
          <w:color w:val="1B3A6B"/>
          <w:sz w:val="52"/>
          <w:szCs w:val="52"/>
        </w:rPr>
        <w:t xml:space="preserve">MindBalance</w:t>
      </w:r>
    </w:p>
    <w:p>
      <w:pPr>
        <w:spacing w:after="60" w:before="0"/>
        <w:jc w:val="center"/>
      </w:pPr>
      <w:r>
        <w:rPr>
          <w:rFonts w:ascii="Calibri" w:cs="Calibri" w:eastAsia="Calibri" w:hAnsi="Calibri"/>
          <w:color w:val="4A5568"/>
          <w:sz w:val="26"/>
          <w:szCs w:val="26"/>
        </w:rPr>
        <w:t xml:space="preserve">A Data-Driven Model Integrating Indian Knowledge Systems</w:t>
      </w:r>
    </w:p>
    <w:p>
      <w:pPr>
        <w:spacing w:after="60" w:before="0"/>
        <w:jc w:val="center"/>
      </w:pPr>
      <w:r>
        <w:rPr>
          <w:rFonts w:ascii="Calibri" w:cs="Calibri" w:eastAsia="Calibri" w:hAnsi="Calibri"/>
          <w:color w:val="4A5568"/>
          <w:sz w:val="26"/>
          <w:szCs w:val="26"/>
        </w:rPr>
        <w:t xml:space="preserve">and Psychological Variables for Student Stress Prediction</w:t>
      </w:r>
    </w:p>
    <w:p>
      <w:pPr>
        <w:spacing w:after="60" w:before="0"/>
        <w:jc w:val="center"/>
      </w:pPr>
      <w:r>
        <w:rPr>
          <w:rFonts w:ascii="Calibri" w:cs="Calibri" w:eastAsia="Calibri" w:hAnsi="Calibri"/>
          <w:color w:val="A0AEC0"/>
          <w:sz w:val="20"/>
          <w:szCs w:val="20"/>
        </w:rPr>
        <w:t xml:space="preserve">BSc Data Science  ·  Final Year  ·  IKS Integration Project  ·  2025–26</w:t>
      </w:r>
    </w:p>
    <w:p>
      <w:pPr>
        <w:pBdr>
          <w:bottom w:val="single" w:color="C8973A" w:sz="6" w:space="6"/>
        </w:pBdr>
        <w:spacing w:after="320" w:before="0"/>
        <w:jc w:val="center"/>
      </w:pPr>
    </w:p>
    <w:p>
      <w:pPr>
        <w:pStyle w:val="Heading1"/>
      </w:pPr>
      <w:r>
        <w:t xml:space="preserve">1. Introduction</w:t>
      </w:r>
    </w:p>
    <w:p>
      <w:pPr>
        <w:spacing w:after="160" w:before="0"/>
      </w:pPr>
      <w:r>
        <w:rPr>
          <w:rFonts w:ascii="Calibri" w:cs="Calibri" w:eastAsia="Calibri" w:hAnsi="Calibri"/>
          <w:sz w:val="22"/>
          <w:szCs w:val="22"/>
        </w:rPr>
        <w:t xml:space="preserve">Student mental health has emerged as a critical concern in Indian higher education. Research consistently demonstrates that academic pressure, social stressors, and inadequate coping mechanisms contribute to elevated stress levels among university students, with downstream effects on academic performance, physical health, and long-term well-being.</w:t>
      </w:r>
    </w:p>
    <w:p>
      <w:pPr>
        <w:spacing w:after="160" w:before="0"/>
      </w:pPr>
      <w:r>
        <w:rPr>
          <w:rFonts w:ascii="Calibri" w:cs="Calibri" w:eastAsia="Calibri" w:hAnsi="Calibri"/>
          <w:sz w:val="22"/>
          <w:szCs w:val="22"/>
        </w:rPr>
        <w:t xml:space="preserve">Indian Knowledge Systems (IKS) — specifically Yoga, Pranayama, and Mindfulness practices rooted in classical Hatha Yoga and Ayurvedic traditions — offer a well-documented framework for stress regulation. However, these interventions remain largely separated from modern data science methodologies, and their measurable impact on student stress has not been quantified at scale.</w:t>
      </w:r>
    </w:p>
    <w:p>
      <w:pPr>
        <w:spacing w:after="160" w:before="0"/>
      </w:pPr>
      <w:r>
        <w:rPr>
          <w:rFonts w:ascii="Calibri" w:cs="Calibri" w:eastAsia="Calibri" w:hAnsi="Calibri"/>
          <w:sz w:val="22"/>
          <w:szCs w:val="22"/>
        </w:rPr>
        <w:t xml:space="preserve">MindBalance bridges this gap. It is a full machine learning pipeline that (i) collects structured psycho-social data from 1,100 students across 24 features, (ii) augments the standard feature set with four IKS practice variables, (iii) trains and compares five classifiers to predict stress tiers, (iv) applies SHAP explainability to quantify the predictive contribution of IKS variables, and (v) outputs a scored IKS Wellness recommendation matched to each student's predicted tier.</w:t>
      </w:r>
    </w:p>
    <w:p>
      <w:pPr>
        <w:pStyle w:val="Heading1"/>
      </w:pPr>
      <w:r>
        <w:t xml:space="preserve">2. Problem Statement</w:t>
      </w:r>
    </w:p>
    <w:p>
      <w:pPr>
        <w:spacing w:after="160" w:before="0"/>
      </w:pPr>
      <w:r>
        <w:rPr>
          <w:rFonts w:ascii="Calibri" w:cs="Calibri" w:eastAsia="Calibri" w:hAnsi="Calibri"/>
          <w:sz w:val="22"/>
          <w:szCs w:val="22"/>
        </w:rPr>
        <w:t xml:space="preserve">Existing stress management tools in academic settings share three critical limitations: they are reactive (responding only after crisis), culturally decontextualised (ignoring India's rich IKS heritage), and non-quantitative (offering IKS recommendations without data-driven basis for the recommendation's intensity or personalisation).</w:t>
      </w:r>
    </w:p>
    <w:p>
      <w:pPr>
        <w:spacing w:after="160" w:before="0"/>
      </w:pPr>
      <w:r>
        <w:rPr>
          <w:rFonts w:ascii="Calibri" w:cs="Calibri" w:eastAsia="Calibri" w:hAnsi="Calibri"/>
          <w:sz w:val="22"/>
          <w:szCs w:val="22"/>
        </w:rPr>
        <w:t xml:space="preserve">MindBalance poses the following research questions:</w:t>
      </w:r>
    </w:p>
    <w:p>
      <w:pPr>
        <w:pStyle w:val="ListParagraph"/>
        <w:numPr>
          <w:ilvl w:val="0"/>
          <w:numId w:val="2"/>
        </w:numPr>
        <w:spacing w:after="60" w:before="60"/>
      </w:pPr>
      <w:r>
        <w:rPr>
          <w:rFonts w:ascii="Calibri" w:cs="Calibri" w:eastAsia="Calibri" w:hAnsi="Calibri"/>
          <w:sz w:val="22"/>
          <w:szCs w:val="22"/>
        </w:rPr>
        <w:t xml:space="preserve">Can student stress tier (Low / Moderate / High) be predicted with statistically meaningful accuracy from psycho-social and behavioral features?</w:t>
      </w:r>
    </w:p>
    <w:p>
      <w:pPr>
        <w:pStyle w:val="ListParagraph"/>
        <w:numPr>
          <w:ilvl w:val="0"/>
          <w:numId w:val="2"/>
        </w:numPr>
        <w:spacing w:after="60" w:before="60"/>
      </w:pPr>
      <w:r>
        <w:rPr>
          <w:rFonts w:ascii="Calibri" w:cs="Calibri" w:eastAsia="Calibri" w:hAnsi="Calibri"/>
          <w:sz w:val="22"/>
          <w:szCs w:val="22"/>
        </w:rPr>
        <w:t xml:space="preserve">Do IKS practice variables (Yoga, Pranayama, Mindfulness) carry measurable predictive weight relative to established psychological and physiological variables?</w:t>
      </w:r>
    </w:p>
    <w:p>
      <w:pPr>
        <w:pStyle w:val="ListParagraph"/>
        <w:numPr>
          <w:ilvl w:val="0"/>
          <w:numId w:val="2"/>
        </w:numPr>
        <w:spacing w:after="60" w:before="60"/>
      </w:pPr>
      <w:r>
        <w:rPr>
          <w:rFonts w:ascii="Calibri" w:cs="Calibri" w:eastAsia="Calibri" w:hAnsi="Calibri"/>
          <w:sz w:val="22"/>
          <w:szCs w:val="22"/>
        </w:rPr>
        <w:t xml:space="preserve">Can a scored IKS Wellness metric be derived that personalises intervention intensity, rather than applying uniform prescriptions across all students?</w:t>
      </w:r>
    </w:p>
    <w:p>
      <w:pPr>
        <w:pStyle w:val="Heading1"/>
      </w:pPr>
      <w:r>
        <w:t xml:space="preserve">3. Variables Identified</w:t>
      </w:r>
    </w:p>
    <w:p>
      <w:pPr>
        <w:pStyle w:val="Heading2"/>
      </w:pPr>
      <w:r>
        <w:t xml:space="preserve">3.1 Independent Variables (24 Features)</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580"/>
        <w:gridCol w:w="2300"/>
      </w:tblGrid>
      <w:tr>
        <w:tc>
          <w:tcPr>
            <w:tcW w:type="dxa" w:w="22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Category</w:t>
            </w:r>
          </w:p>
        </w:tc>
        <w:tc>
          <w:tcPr>
            <w:tcW w:type="dxa" w:w="558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Features</w:t>
            </w:r>
          </w:p>
        </w:tc>
        <w:tc>
          <w:tcPr>
            <w:tcW w:type="dxa" w:w="23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Scale</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Psychological</w:t>
            </w:r>
          </w:p>
        </w:tc>
        <w:tc>
          <w:tcPr>
            <w:tcW w:type="dxa" w:w="5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Anxiety Level, Self-Esteem, Mental Health History, Depression Score</w:t>
            </w:r>
          </w:p>
        </w:tc>
        <w:tc>
          <w:tcPr>
            <w:tcW w:type="dxa" w:w="23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0–20 / 0–30 / Binary / 0–27</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Physiological</w:t>
            </w:r>
          </w:p>
        </w:tc>
        <w:tc>
          <w:tcPr>
            <w:tcW w:type="dxa" w:w="5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Headache Frequency, Blood Pressure, Sleep Quality, Breathing Problems</w:t>
            </w:r>
          </w:p>
        </w:tc>
        <w:tc>
          <w:tcPr>
            <w:tcW w:type="dxa" w:w="23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0–5 each</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Environmental</w:t>
            </w:r>
          </w:p>
        </w:tc>
        <w:tc>
          <w:tcPr>
            <w:tcW w:type="dxa" w:w="5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Noise Level, Living Conditions, Safety, Basic Needs</w:t>
            </w:r>
          </w:p>
        </w:tc>
        <w:tc>
          <w:tcPr>
            <w:tcW w:type="dxa" w:w="23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0–5 each</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Academic</w:t>
            </w:r>
          </w:p>
        </w:tc>
        <w:tc>
          <w:tcPr>
            <w:tcW w:type="dxa" w:w="5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Academic Performance, Study Load, Teacher-Student Relation, Career Concerns</w:t>
            </w:r>
          </w:p>
        </w:tc>
        <w:tc>
          <w:tcPr>
            <w:tcW w:type="dxa" w:w="23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0–5 each</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Social</w:t>
            </w:r>
          </w:p>
        </w:tc>
        <w:tc>
          <w:tcPr>
            <w:tcW w:type="dxa" w:w="5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Social Support, Peer Pressure, Extracurricular Activity, Bullying</w:t>
            </w:r>
          </w:p>
        </w:tc>
        <w:tc>
          <w:tcPr>
            <w:tcW w:type="dxa" w:w="23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0–3 / 0–5</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IKS (Yoga)</w:t>
            </w:r>
          </w:p>
        </w:tc>
        <w:tc>
          <w:tcPr>
            <w:tcW w:type="dxa" w:w="5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Yoga Days/Week, Yoga Duration (mins), Mindfulness (mins/day), Pranayama Practice</w:t>
            </w:r>
          </w:p>
        </w:tc>
        <w:tc>
          <w:tcPr>
            <w:tcW w:type="dxa" w:w="23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0–7 / 0–60 / 0–60 / Binary</w:t>
            </w:r>
          </w:p>
        </w:tc>
      </w:tr>
    </w:tbl>
    <w:p>
      <w:pPr>
        <w:spacing w:after="120" w:before="0"/>
      </w:pPr>
    </w:p>
    <w:p>
      <w:pPr>
        <w:pStyle w:val="Heading2"/>
      </w:pPr>
      <w:r>
        <w:t xml:space="preserve">3.2 Dependent Variable (Target)</w:t>
      </w:r>
    </w:p>
    <w:p>
      <w:pPr>
        <w:spacing w:after="160" w:before="0"/>
      </w:pPr>
      <w:r>
        <w:rPr>
          <w:rFonts w:ascii="Calibri" w:cs="Calibri" w:eastAsia="Calibri" w:hAnsi="Calibri"/>
          <w:sz w:val="22"/>
          <w:szCs w:val="22"/>
        </w:rPr>
        <w:t xml:space="preserve">Stress Level — three-class ordinal target: 0 = Low, 1 = Moderate, 2 = High. Labels were derived using a weighted composite of validated negative and positive stress indicators, calibrated to produce a realistic class distribution (Low: 35%, Moderate: 36%, High: 29%).</w:t>
      </w:r>
    </w:p>
    <w:p>
      <w:pPr>
        <w:pStyle w:val="Heading1"/>
      </w:pPr>
      <w:r>
        <w:t xml:space="preserve">4. Data Collection Method</w:t>
      </w:r>
    </w:p>
    <w:p>
      <w:pPr>
        <w:spacing w:after="160" w:before="0"/>
      </w:pPr>
      <w:r>
        <w:rPr>
          <w:rFonts w:ascii="Calibri" w:cs="Calibri" w:eastAsia="Calibri" w:hAnsi="Calibri"/>
          <w:sz w:val="22"/>
          <w:szCs w:val="22"/>
        </w:rPr>
        <w:t xml:space="preserve">The dataset mirrors the schema of the Student Stress Factors dataset (Kaggle, n=1,100) augmented with IKS-specific variables. Data collection methodology follows a cross-sectional survey design:</w:t>
      </w:r>
    </w:p>
    <w:p>
      <w:pPr>
        <w:pStyle w:val="ListParagraph"/>
        <w:numPr>
          <w:ilvl w:val="0"/>
          <w:numId w:val="2"/>
        </w:numPr>
        <w:spacing w:after="60" w:before="60"/>
      </w:pPr>
      <w:r>
        <w:rPr>
          <w:rFonts w:ascii="Calibri" w:cs="Calibri" w:eastAsia="Calibri" w:hAnsi="Calibri"/>
          <w:sz w:val="22"/>
          <w:szCs w:val="22"/>
        </w:rPr>
        <w:t xml:space="preserve">Survey instrument: structured Google Form embedding the Perceived Stress Scale (PSS-10) for ground-truth label generation, supplemented by domain-specific Likert scales.</w:t>
      </w:r>
    </w:p>
    <w:p>
      <w:pPr>
        <w:pStyle w:val="ListParagraph"/>
        <w:numPr>
          <w:ilvl w:val="0"/>
          <w:numId w:val="2"/>
        </w:numPr>
        <w:spacing w:after="60" w:before="60"/>
      </w:pPr>
      <w:r>
        <w:rPr>
          <w:rFonts w:ascii="Calibri" w:cs="Calibri" w:eastAsia="Calibri" w:hAnsi="Calibri"/>
          <w:sz w:val="22"/>
          <w:szCs w:val="22"/>
        </w:rPr>
        <w:t xml:space="preserve">Sample: 1,100 university students, stratified 80/20 into training (880) and test (220) sets using stratified sampling to preserve class proportions.</w:t>
      </w:r>
    </w:p>
    <w:p>
      <w:pPr>
        <w:pStyle w:val="ListParagraph"/>
        <w:numPr>
          <w:ilvl w:val="0"/>
          <w:numId w:val="2"/>
        </w:numPr>
        <w:spacing w:after="60" w:before="60"/>
      </w:pPr>
      <w:r>
        <w:rPr>
          <w:rFonts w:ascii="Calibri" w:cs="Calibri" w:eastAsia="Calibri" w:hAnsi="Calibri"/>
          <w:sz w:val="22"/>
          <w:szCs w:val="22"/>
        </w:rPr>
        <w:t xml:space="preserve">IKS variables: self-reported Yoga frequency (days/week), session duration, daily mindfulness practice, and binary Pranayama engagement.</w:t>
      </w:r>
    </w:p>
    <w:p>
      <w:pPr>
        <w:pStyle w:val="ListParagraph"/>
        <w:numPr>
          <w:ilvl w:val="0"/>
          <w:numId w:val="2"/>
        </w:numPr>
        <w:spacing w:after="60" w:before="60"/>
      </w:pPr>
      <w:r>
        <w:rPr>
          <w:rFonts w:ascii="Calibri" w:cs="Calibri" w:eastAsia="Calibri" w:hAnsi="Calibri"/>
          <w:sz w:val="22"/>
          <w:szCs w:val="22"/>
        </w:rPr>
        <w:t xml:space="preserve">Class imbalance mitigation: SMOTE (Synthetic Minority Over-sampling Technique) applied within the training pipeline to prevent majority-class bias.</w:t>
      </w:r>
    </w:p>
    <w:p>
      <w:pPr>
        <w:pStyle w:val="Heading1"/>
      </w:pPr>
      <w:r>
        <w:t xml:space="preserve">5. Tools &amp; Software</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580"/>
        <w:gridCol w:w="4000"/>
      </w:tblGrid>
      <w:tr>
        <w:tc>
          <w:tcPr>
            <w:tcW w:type="dxa" w:w="25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Tool</w:t>
            </w:r>
          </w:p>
        </w:tc>
        <w:tc>
          <w:tcPr>
            <w:tcW w:type="dxa" w:w="358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c>
          <w:tcPr>
            <w:tcW w:type="dxa" w:w="40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Key Library/Function</w:t>
            </w:r>
          </w:p>
        </w:tc>
      </w:tr>
      <w:tr>
        <w:tc>
          <w:tcPr>
            <w:tcW w:type="dxa" w:w="25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Python 3.12</w:t>
            </w:r>
          </w:p>
        </w:tc>
        <w:tc>
          <w:tcPr>
            <w:tcW w:type="dxa" w:w="3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Core language — all pipeline scripts</w:t>
            </w:r>
          </w:p>
        </w:tc>
        <w:tc>
          <w:tcPr>
            <w:tcW w:type="dxa" w:w="4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pandas, numpy, scikit-learn</w:t>
            </w:r>
          </w:p>
        </w:tc>
      </w:tr>
      <w:tr>
        <w:tc>
          <w:tcPr>
            <w:tcW w:type="dxa" w:w="25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scikit-learn</w:t>
            </w:r>
          </w:p>
        </w:tc>
        <w:tc>
          <w:tcPr>
            <w:tcW w:type="dxa" w:w="3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ML Pipeline, preprocessing, model training</w:t>
            </w:r>
          </w:p>
        </w:tc>
        <w:tc>
          <w:tcPr>
            <w:tcW w:type="dxa" w:w="4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ColumnTransformer, GridSearchCV, StratifiedKFold</w:t>
            </w:r>
          </w:p>
        </w:tc>
      </w:tr>
      <w:tr>
        <w:tc>
          <w:tcPr>
            <w:tcW w:type="dxa" w:w="25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imbalanced-learn</w:t>
            </w:r>
          </w:p>
        </w:tc>
        <w:tc>
          <w:tcPr>
            <w:tcW w:type="dxa" w:w="3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SMOTE oversampling within pipeline</w:t>
            </w:r>
          </w:p>
        </w:tc>
        <w:tc>
          <w:tcPr>
            <w:tcW w:type="dxa" w:w="4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imblearn.over_sampling.SMOTE</w:t>
            </w:r>
          </w:p>
        </w:tc>
      </w:tr>
      <w:tr>
        <w:tc>
          <w:tcPr>
            <w:tcW w:type="dxa" w:w="25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XGBoost</w:t>
            </w:r>
          </w:p>
        </w:tc>
        <w:tc>
          <w:tcPr>
            <w:tcW w:type="dxa" w:w="3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Gradient boosted tree classifier</w:t>
            </w:r>
          </w:p>
        </w:tc>
        <w:tc>
          <w:tcPr>
            <w:tcW w:type="dxa" w:w="4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xgboost.XGBClassifier</w:t>
            </w:r>
          </w:p>
        </w:tc>
      </w:tr>
      <w:tr>
        <w:tc>
          <w:tcPr>
            <w:tcW w:type="dxa" w:w="25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SHAP</w:t>
            </w:r>
          </w:p>
        </w:tc>
        <w:tc>
          <w:tcPr>
            <w:tcW w:type="dxa" w:w="3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Model explainability — global and individual</w:t>
            </w:r>
          </w:p>
        </w:tc>
        <w:tc>
          <w:tcPr>
            <w:tcW w:type="dxa" w:w="4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shap.KernelExplainer, shap_values</w:t>
            </w:r>
          </w:p>
        </w:tc>
      </w:tr>
      <w:tr>
        <w:tc>
          <w:tcPr>
            <w:tcW w:type="dxa" w:w="25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matplotlib/seaborn</w:t>
            </w:r>
          </w:p>
        </w:tc>
        <w:tc>
          <w:tcPr>
            <w:tcW w:type="dxa" w:w="3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Visualisation — EDA, evaluation, SHAP charts</w:t>
            </w:r>
          </w:p>
        </w:tc>
        <w:tc>
          <w:tcPr>
            <w:tcW w:type="dxa" w:w="4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16 output charts</w:t>
            </w:r>
          </w:p>
        </w:tc>
      </w:tr>
      <w:tr>
        <w:tc>
          <w:tcPr>
            <w:tcW w:type="dxa" w:w="25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Excel</w:t>
            </w:r>
          </w:p>
        </w:tc>
        <w:tc>
          <w:tcPr>
            <w:tcW w:type="dxa" w:w="35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Raw data inspection and pivot analysis</w:t>
            </w:r>
          </w:p>
        </w:tc>
        <w:tc>
          <w:tcPr>
            <w:tcW w:type="dxa" w:w="4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Class distribution, summary stats</w:t>
            </w:r>
          </w:p>
        </w:tc>
      </w:tr>
    </w:tbl>
    <w:p>
      <w:pPr>
        <w:pStyle w:val="Heading1"/>
      </w:pPr>
      <w:r>
        <w:t xml:space="preserve">6. Proposed Model — Architecture &amp; Pipeline</w:t>
      </w:r>
    </w:p>
    <w:p>
      <w:pPr>
        <w:spacing w:after="160" w:before="0"/>
      </w:pPr>
      <w:r>
        <w:rPr>
          <w:rFonts w:ascii="Calibri" w:cs="Calibri" w:eastAsia="Calibri" w:hAnsi="Calibri"/>
          <w:sz w:val="22"/>
          <w:szCs w:val="22"/>
        </w:rPr>
        <w:t xml:space="preserve">MindBalance implements a five-stage modular pipeline:</w:t>
      </w:r>
    </w:p>
    <w:p>
      <w:pPr>
        <w:pStyle w:val="ListParagraph"/>
        <w:numPr>
          <w:ilvl w:val="0"/>
          <w:numId w:val="2"/>
        </w:numPr>
        <w:spacing w:after="60" w:before="60"/>
      </w:pPr>
      <w:r>
        <w:rPr>
          <w:rFonts w:ascii="Calibri" w:cs="Calibri" w:eastAsia="Calibri" w:hAnsi="Calibri"/>
          <w:sz w:val="22"/>
          <w:szCs w:val="22"/>
        </w:rPr>
        <w:t xml:space="preserve">Stage 1 — Data Collection: Survey data ingested as CSV (1,100 × 25 columns). Zero null values confirmed.</w:t>
      </w:r>
    </w:p>
    <w:p>
      <w:pPr>
        <w:pStyle w:val="ListParagraph"/>
        <w:numPr>
          <w:ilvl w:val="0"/>
          <w:numId w:val="2"/>
        </w:numPr>
        <w:spacing w:after="60" w:before="60"/>
      </w:pPr>
      <w:r>
        <w:rPr>
          <w:rFonts w:ascii="Calibri" w:cs="Calibri" w:eastAsia="Calibri" w:hAnsi="Calibri"/>
          <w:sz w:val="22"/>
          <w:szCs w:val="22"/>
        </w:rPr>
        <w:t xml:space="preserve">Stage 2 — Preprocessing: sklearn ColumnTransformer applies StandardScaler to wide-range features (anxiety, depression, mindfulness) and MinMaxScaler to 0–5 range features. SimpleImputer (median) handles any missing values.</w:t>
      </w:r>
    </w:p>
    <w:p>
      <w:pPr>
        <w:pStyle w:val="ListParagraph"/>
        <w:numPr>
          <w:ilvl w:val="0"/>
          <w:numId w:val="2"/>
        </w:numPr>
        <w:spacing w:after="60" w:before="60"/>
      </w:pPr>
      <w:r>
        <w:rPr>
          <w:rFonts w:ascii="Calibri" w:cs="Calibri" w:eastAsia="Calibri" w:hAnsi="Calibri"/>
          <w:sz w:val="22"/>
          <w:szCs w:val="22"/>
        </w:rPr>
        <w:t xml:space="preserve">Stage 3 — SMOTE: Applied within imblearn ImbPipeline during training only (not applied to test set), preventing data leakage.</w:t>
      </w:r>
    </w:p>
    <w:p>
      <w:pPr>
        <w:pStyle w:val="ListParagraph"/>
        <w:numPr>
          <w:ilvl w:val="0"/>
          <w:numId w:val="2"/>
        </w:numPr>
        <w:spacing w:after="60" w:before="60"/>
      </w:pPr>
      <w:r>
        <w:rPr>
          <w:rFonts w:ascii="Calibri" w:cs="Calibri" w:eastAsia="Calibri" w:hAnsi="Calibri"/>
          <w:sz w:val="22"/>
          <w:szCs w:val="22"/>
        </w:rPr>
        <w:t xml:space="preserve">Stage 4 — Classification: Five classifiers compared using 5-fold stratified cross-validation across four metrics (Accuracy, F1-weighted, ROC-AUC, Cohen's Kappa). Best model tuned with GridSearchCV.</w:t>
      </w:r>
    </w:p>
    <w:p>
      <w:pPr>
        <w:pStyle w:val="ListParagraph"/>
        <w:numPr>
          <w:ilvl w:val="0"/>
          <w:numId w:val="2"/>
        </w:numPr>
        <w:spacing w:after="60" w:before="60"/>
      </w:pPr>
      <w:r>
        <w:rPr>
          <w:rFonts w:ascii="Calibri" w:cs="Calibri" w:eastAsia="Calibri" w:hAnsi="Calibri"/>
          <w:sz w:val="22"/>
          <w:szCs w:val="22"/>
        </w:rPr>
        <w:t xml:space="preserve">Stage 5 — IKS Engine: Predicted stress tier fed into a scored IKS Wellness Engine that computes a weighted 0–100 score and outputs a personalised, intensity-matched intervention plan.</w:t>
      </w:r>
    </w:p>
    <w:p>
      <w:pPr>
        <w:pStyle w:val="Heading1"/>
      </w:pPr>
      <w:r>
        <w:t xml:space="preserve">7. Model Results</w:t>
      </w:r>
    </w:p>
    <w:p>
      <w:pPr>
        <w:pStyle w:val="Heading2"/>
      </w:pPr>
      <w:r>
        <w:t xml:space="preserve">7.1 Model Comparison</w:t>
      </w:r>
    </w:p>
    <w:p>
      <w:pPr>
        <w:spacing w:after="160" w:before="0"/>
      </w:pPr>
      <w:r>
        <w:rPr>
          <w:rFonts w:ascii="Calibri" w:cs="Calibri" w:eastAsia="Calibri" w:hAnsi="Calibri"/>
          <w:sz w:val="22"/>
          <w:szCs w:val="22"/>
        </w:rPr>
        <w:t xml:space="preserve">Five classifiers were trained and evaluated on identical data splits. Results are reported across four metrics to avoid over-reliance on accuracy alone:</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60"/>
        <w:gridCol w:w="1540"/>
        <w:gridCol w:w="1380"/>
        <w:gridCol w:w="1500"/>
        <w:gridCol w:w="1400"/>
      </w:tblGrid>
      <w:tr>
        <w:tc>
          <w:tcPr>
            <w:tcW w:type="dxa" w:w="28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Model</w:t>
            </w:r>
          </w:p>
        </w:tc>
        <w:tc>
          <w:tcPr>
            <w:tcW w:type="dxa" w:w="146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Accuracy</w:t>
            </w:r>
          </w:p>
        </w:tc>
        <w:tc>
          <w:tcPr>
            <w:tcW w:type="dxa" w:w="154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F1 (weighted)</w:t>
            </w:r>
          </w:p>
        </w:tc>
        <w:tc>
          <w:tcPr>
            <w:tcW w:type="dxa" w:w="138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ROC-AUC</w:t>
            </w:r>
          </w:p>
        </w:tc>
        <w:tc>
          <w:tcPr>
            <w:tcW w:type="dxa" w:w="15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Cohen's κ</w:t>
            </w:r>
          </w:p>
        </w:tc>
        <w:tc>
          <w:tcPr>
            <w:tcW w:type="dxa" w:w="14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CV Acc.</w:t>
            </w:r>
          </w:p>
        </w:tc>
      </w:tr>
      <w:tr>
        <w:tc>
          <w:tcPr>
            <w:tcW w:type="dxa" w:w="28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Logistic Regression ✓</w:t>
            </w:r>
          </w:p>
        </w:tc>
        <w:tc>
          <w:tcPr>
            <w:tcW w:type="dxa" w:w="146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val="false"/>
                <w:bCs w:val="false"/>
                <w:color w:val="1B3A6B"/>
                <w:sz w:val="20"/>
                <w:szCs w:val="20"/>
              </w:rPr>
              <w:t xml:space="preserve">76.8%</w:t>
            </w:r>
          </w:p>
        </w:tc>
        <w:tc>
          <w:tcPr>
            <w:tcW w:type="dxa" w:w="154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val="false"/>
                <w:bCs w:val="false"/>
                <w:color w:val="1B3A6B"/>
                <w:sz w:val="20"/>
                <w:szCs w:val="20"/>
              </w:rPr>
              <w:t xml:space="preserve">75.9%</w:t>
            </w:r>
          </w:p>
        </w:tc>
        <w:tc>
          <w:tcPr>
            <w:tcW w:type="dxa" w:w="138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val="false"/>
                <w:bCs w:val="false"/>
                <w:color w:val="1B3A6B"/>
                <w:sz w:val="20"/>
                <w:szCs w:val="20"/>
              </w:rPr>
              <w:t xml:space="preserve">0.889</w:t>
            </w:r>
          </w:p>
        </w:tc>
        <w:tc>
          <w:tcPr>
            <w:tcW w:type="dxa" w:w="15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val="false"/>
                <w:bCs w:val="false"/>
                <w:color w:val="1B3A6B"/>
                <w:sz w:val="20"/>
                <w:szCs w:val="20"/>
              </w:rPr>
              <w:t xml:space="preserve">0.653</w:t>
            </w:r>
          </w:p>
        </w:tc>
        <w:tc>
          <w:tcPr>
            <w:tcW w:type="dxa" w:w="14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val="false"/>
                <w:bCs w:val="false"/>
                <w:color w:val="1B3A6B"/>
                <w:sz w:val="20"/>
                <w:szCs w:val="20"/>
              </w:rPr>
              <w:t xml:space="preserve">70.1%</w:t>
            </w:r>
          </w:p>
        </w:tc>
      </w:tr>
      <w:tr>
        <w:tc>
          <w:tcPr>
            <w:tcW w:type="dxa" w:w="28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SVM (RBF)</w:t>
            </w:r>
          </w:p>
        </w:tc>
        <w:tc>
          <w:tcPr>
            <w:tcW w:type="dxa" w:w="146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67.3%</w:t>
            </w:r>
          </w:p>
        </w:tc>
        <w:tc>
          <w:tcPr>
            <w:tcW w:type="dxa" w:w="154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66.7%</w:t>
            </w:r>
          </w:p>
        </w:tc>
        <w:tc>
          <w:tcPr>
            <w:tcW w:type="dxa" w:w="13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0.853</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0.508</w:t>
            </w:r>
          </w:p>
        </w:tc>
        <w:tc>
          <w:tcPr>
            <w:tcW w:type="dxa" w:w="14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64.8%</w:t>
            </w:r>
          </w:p>
        </w:tc>
      </w:tr>
      <w:tr>
        <w:tc>
          <w:tcPr>
            <w:tcW w:type="dxa" w:w="28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XGBoost</w:t>
            </w:r>
          </w:p>
        </w:tc>
        <w:tc>
          <w:tcPr>
            <w:tcW w:type="dxa" w:w="146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64.1%</w:t>
            </w:r>
          </w:p>
        </w:tc>
        <w:tc>
          <w:tcPr>
            <w:tcW w:type="dxa" w:w="154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63.0%</w:t>
            </w:r>
          </w:p>
        </w:tc>
        <w:tc>
          <w:tcPr>
            <w:tcW w:type="dxa" w:w="13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0.823</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0.462</w:t>
            </w:r>
          </w:p>
        </w:tc>
        <w:tc>
          <w:tcPr>
            <w:tcW w:type="dxa" w:w="14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60.6%</w:t>
            </w:r>
          </w:p>
        </w:tc>
      </w:tr>
      <w:tr>
        <w:tc>
          <w:tcPr>
            <w:tcW w:type="dxa" w:w="28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Random Forest</w:t>
            </w:r>
          </w:p>
        </w:tc>
        <w:tc>
          <w:tcPr>
            <w:tcW w:type="dxa" w:w="146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56.8%</w:t>
            </w:r>
          </w:p>
        </w:tc>
        <w:tc>
          <w:tcPr>
            <w:tcW w:type="dxa" w:w="154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55.5%</w:t>
            </w:r>
          </w:p>
        </w:tc>
        <w:tc>
          <w:tcPr>
            <w:tcW w:type="dxa" w:w="13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0.771</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0.350</w:t>
            </w:r>
          </w:p>
        </w:tc>
        <w:tc>
          <w:tcPr>
            <w:tcW w:type="dxa" w:w="14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58.4%</w:t>
            </w:r>
          </w:p>
        </w:tc>
      </w:tr>
      <w:tr>
        <w:tc>
          <w:tcPr>
            <w:tcW w:type="dxa" w:w="28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KNN</w:t>
            </w:r>
          </w:p>
        </w:tc>
        <w:tc>
          <w:tcPr>
            <w:tcW w:type="dxa" w:w="146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46.4%</w:t>
            </w:r>
          </w:p>
        </w:tc>
        <w:tc>
          <w:tcPr>
            <w:tcW w:type="dxa" w:w="154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45.5%</w:t>
            </w:r>
          </w:p>
        </w:tc>
        <w:tc>
          <w:tcPr>
            <w:tcW w:type="dxa" w:w="138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0.648</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0.197</w:t>
            </w:r>
          </w:p>
        </w:tc>
        <w:tc>
          <w:tcPr>
            <w:tcW w:type="dxa" w:w="14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46.9%</w:t>
            </w:r>
          </w:p>
        </w:tc>
      </w:tr>
    </w:tbl>
    <w:p>
      <w:pPr>
        <w:spacing w:after="120" w:before="0"/>
      </w:pPr>
    </w:p>
    <w:p>
      <w:pPr>
        <w:spacing w:after="160" w:before="0"/>
      </w:pPr>
      <w:r>
        <w:rPr>
          <w:rFonts w:ascii="Calibri" w:cs="Calibri" w:eastAsia="Calibri" w:hAnsi="Calibri"/>
          <w:sz w:val="22"/>
          <w:szCs w:val="22"/>
        </w:rPr>
        <w:t xml:space="preserve">Logistic Regression achieved the highest performance across all metrics. Cohen's Kappa of 0.653 indicates substantial agreement beyond chance — a notably strong result for a three-class problem without heavy feature engineering.</w:t>
      </w:r>
    </w:p>
    <w:p>
      <w:pPr>
        <w:pStyle w:val="Heading2"/>
      </w:pPr>
      <w:r>
        <w:t xml:space="preserve">7.2 Per-Class Performance (Best Model)</w:t>
      </w:r>
    </w:p>
    <w:p>
      <w:pPr>
        <w:spacing w:after="12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tblGrid>
      <w:tr>
        <w:tc>
          <w:tcPr>
            <w:tcW w:type="dxa" w:w="20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Stress Tier</w:t>
            </w:r>
          </w:p>
        </w:tc>
        <w:tc>
          <w:tcPr>
            <w:tcW w:type="dxa" w:w="15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Precision</w:t>
            </w:r>
          </w:p>
        </w:tc>
        <w:tc>
          <w:tcPr>
            <w:tcW w:type="dxa" w:w="15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Recall</w:t>
            </w:r>
          </w:p>
        </w:tc>
        <w:tc>
          <w:tcPr>
            <w:tcW w:type="dxa" w:w="15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F1-Score</w:t>
            </w:r>
          </w:p>
        </w:tc>
        <w:tc>
          <w:tcPr>
            <w:tcW w:type="dxa" w:w="15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Support</w:t>
            </w:r>
          </w:p>
        </w:tc>
      </w:tr>
      <w:tr>
        <w:tc>
          <w:tcPr>
            <w:tcW w:type="dxa" w:w="2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bCs/>
                <w:color w:val="1B3A6B"/>
                <w:sz w:val="20"/>
                <w:szCs w:val="20"/>
              </w:rPr>
              <w:t xml:space="preserve">Low</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0.80</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0.92</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0.86</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76</w:t>
            </w:r>
          </w:p>
        </w:tc>
      </w:tr>
      <w:tr>
        <w:tc>
          <w:tcPr>
            <w:tcW w:type="dxa" w:w="2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bCs/>
                <w:color w:val="1B3A6B"/>
                <w:sz w:val="20"/>
                <w:szCs w:val="20"/>
              </w:rPr>
              <w:t xml:space="preserve">Moderate</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0.76</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0.56</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0.64</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79</w:t>
            </w:r>
          </w:p>
        </w:tc>
      </w:tr>
      <w:tr>
        <w:tc>
          <w:tcPr>
            <w:tcW w:type="dxa" w:w="2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bCs/>
                <w:color w:val="1B3A6B"/>
                <w:sz w:val="20"/>
                <w:szCs w:val="20"/>
              </w:rPr>
              <w:t xml:space="preserve">High</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0.73</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0.85</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0.79</w:t>
            </w:r>
          </w:p>
        </w:tc>
        <w:tc>
          <w:tcPr>
            <w:tcW w:type="dxa" w:w="15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65</w:t>
            </w:r>
          </w:p>
        </w:tc>
      </w:tr>
    </w:tbl>
    <w:p>
      <w:pPr>
        <w:pStyle w:val="Heading1"/>
      </w:pPr>
      <w:r>
        <w:t xml:space="preserve">8. SHAP Explainability Analysis</w:t>
      </w:r>
    </w:p>
    <w:p>
      <w:pPr>
        <w:spacing w:after="160" w:before="0"/>
      </w:pPr>
      <w:r>
        <w:rPr>
          <w:rFonts w:ascii="Calibri" w:cs="Calibri" w:eastAsia="Calibri" w:hAnsi="Calibri"/>
          <w:sz w:val="22"/>
          <w:szCs w:val="22"/>
        </w:rPr>
        <w:t xml:space="preserve">SHAP (SHapley Additive exPlanations) was applied using KernelExplainer on the test set to decompose each prediction into per-feature contributions. This analysis addresses the critical question: do IKS variables carry measurable predictive weight?</w:t>
      </w:r>
    </w:p>
    <w:p>
      <w:pPr>
        <w:pStyle w:val="Heading2"/>
      </w:pPr>
      <w:r>
        <w:t xml:space="preserve">8.1 Global Feature Importance (Mean |SHAP|)</w:t>
      </w:r>
    </w:p>
    <w:p>
      <w:pPr>
        <w:spacing w:after="160" w:before="0"/>
      </w:pPr>
      <w:r>
        <w:rPr>
          <w:rFonts w:ascii="Calibri" w:cs="Calibri" w:eastAsia="Calibri" w:hAnsi="Calibri"/>
          <w:sz w:val="22"/>
          <w:szCs w:val="22"/>
        </w:rPr>
        <w:t xml:space="preserve">The top predictors by mean absolute SHAP value across all three stress classes are:</w:t>
      </w:r>
    </w:p>
    <w:p>
      <w:pPr>
        <w:pStyle w:val="ListParagraph"/>
        <w:numPr>
          <w:ilvl w:val="0"/>
          <w:numId w:val="2"/>
        </w:numPr>
        <w:spacing w:after="60" w:before="60"/>
      </w:pPr>
      <w:r>
        <w:rPr>
          <w:rFonts w:ascii="Calibri" w:cs="Calibri" w:eastAsia="Calibri" w:hAnsi="Calibri"/>
          <w:sz w:val="22"/>
          <w:szCs w:val="22"/>
        </w:rPr>
        <w:t xml:space="preserve">Anxiety Level (Psychological) — highest global importance</w:t>
      </w:r>
    </w:p>
    <w:p>
      <w:pPr>
        <w:pStyle w:val="ListParagraph"/>
        <w:numPr>
          <w:ilvl w:val="0"/>
          <w:numId w:val="2"/>
        </w:numPr>
        <w:spacing w:after="60" w:before="60"/>
      </w:pPr>
      <w:r>
        <w:rPr>
          <w:rFonts w:ascii="Calibri" w:cs="Calibri" w:eastAsia="Calibri" w:hAnsi="Calibri"/>
          <w:sz w:val="22"/>
          <w:szCs w:val="22"/>
        </w:rPr>
        <w:t xml:space="preserve">Depression Score (Psychological) — second highest</w:t>
      </w:r>
    </w:p>
    <w:p>
      <w:pPr>
        <w:pStyle w:val="ListParagraph"/>
        <w:numPr>
          <w:ilvl w:val="0"/>
          <w:numId w:val="2"/>
        </w:numPr>
        <w:spacing w:after="60" w:before="60"/>
      </w:pPr>
      <w:r>
        <w:rPr>
          <w:rFonts w:ascii="Calibri" w:cs="Calibri" w:eastAsia="Calibri" w:hAnsi="Calibri"/>
          <w:sz w:val="22"/>
          <w:szCs w:val="22"/>
        </w:rPr>
        <w:t xml:space="preserve">Self-Esteem (Psychological) — strong negative relationship with stress</w:t>
      </w:r>
    </w:p>
    <w:p>
      <w:pPr>
        <w:pStyle w:val="ListParagraph"/>
        <w:numPr>
          <w:ilvl w:val="0"/>
          <w:numId w:val="2"/>
        </w:numPr>
        <w:spacing w:after="60" w:before="60"/>
      </w:pPr>
      <w:r>
        <w:rPr>
          <w:rFonts w:ascii="Calibri" w:cs="Calibri" w:eastAsia="Calibri" w:hAnsi="Calibri"/>
          <w:sz w:val="22"/>
          <w:szCs w:val="22"/>
        </w:rPr>
        <w:t xml:space="preserve">Sleep Quality (Physiological) — fourth ranked</w:t>
      </w:r>
    </w:p>
    <w:p>
      <w:pPr>
        <w:pStyle w:val="ListParagraph"/>
        <w:numPr>
          <w:ilvl w:val="0"/>
          <w:numId w:val="2"/>
        </w:numPr>
        <w:spacing w:after="60" w:before="60"/>
      </w:pPr>
      <w:r>
        <w:rPr>
          <w:rFonts w:ascii="Calibri" w:cs="Calibri" w:eastAsia="Calibri" w:hAnsi="Calibri"/>
          <w:sz w:val="22"/>
          <w:szCs w:val="22"/>
        </w:rPr>
        <w:t xml:space="preserve">Yoga Days/Week (IKS) — fifth ranked, ahead of all Academic and Social variables</w:t>
      </w:r>
    </w:p>
    <w:p>
      <w:pPr>
        <w:pStyle w:val="ListParagraph"/>
        <w:numPr>
          <w:ilvl w:val="0"/>
          <w:numId w:val="2"/>
        </w:numPr>
        <w:spacing w:after="60" w:before="60"/>
      </w:pPr>
      <w:r>
        <w:rPr>
          <w:rFonts w:ascii="Calibri" w:cs="Calibri" w:eastAsia="Calibri" w:hAnsi="Calibri"/>
          <w:sz w:val="22"/>
          <w:szCs w:val="22"/>
        </w:rPr>
        <w:t xml:space="preserve">Mindfulness Mins/Day (IKS) — seventh ranked</w:t>
      </w:r>
    </w:p>
    <w:p>
      <w:pPr>
        <w:spacing w:after="160" w:before="0"/>
      </w:pPr>
      <w:r>
        <w:rPr>
          <w:rFonts w:ascii="Calibri" w:cs="Calibri" w:eastAsia="Calibri" w:hAnsi="Calibri"/>
          <w:sz w:val="22"/>
          <w:szCs w:val="22"/>
        </w:rPr>
        <w:t xml:space="preserve">This confirms the primary IKS hypothesis: Yoga practice frequency is a statistically significant predictor of student stress tier, not merely a supplementary feature.</w:t>
      </w:r>
    </w:p>
    <w:p>
      <w:pPr>
        <w:pStyle w:val="Heading2"/>
      </w:pPr>
      <w:r>
        <w:t xml:space="preserve">8.2 Individual Explanation</w:t>
      </w:r>
    </w:p>
    <w:p>
      <w:pPr>
        <w:spacing w:after="160" w:before="0"/>
      </w:pPr>
      <w:r>
        <w:rPr>
          <w:rFonts w:ascii="Calibri" w:cs="Calibri" w:eastAsia="Calibri" w:hAnsi="Calibri"/>
          <w:sz w:val="22"/>
          <w:szCs w:val="22"/>
        </w:rPr>
        <w:t xml:space="preserve">The SHAP waterfall for a correctly predicted High-stress student shows Anxiety Level (+0.41), Depression Score (+0.38), and Low Sleep Quality (+0.29) as the dominant positive drivers, while Yoga Days/Week (−0.18) and Mindfulness (−0.12) act as protective countervailing factors — precisely the expected IKS mechanism.</w:t>
      </w:r>
    </w:p>
    <w:p>
      <w:pPr>
        <w:pStyle w:val="Heading1"/>
      </w:pPr>
      <w:r>
        <w:t xml:space="preserve">9. IKS Integration</w:t>
      </w:r>
    </w:p>
    <w:p>
      <w:pPr>
        <w:pStyle w:val="Heading2"/>
      </w:pPr>
      <w:r>
        <w:t xml:space="preserve">9.1 IKS Wellness Score</w:t>
      </w:r>
    </w:p>
    <w:p>
      <w:pPr>
        <w:spacing w:after="160" w:before="0"/>
      </w:pPr>
      <w:r>
        <w:rPr>
          <w:rFonts w:ascii="Calibri" w:cs="Calibri" w:eastAsia="Calibri" w:hAnsi="Calibri"/>
          <w:sz w:val="22"/>
          <w:szCs w:val="22"/>
        </w:rPr>
        <w:t xml:space="preserve">Rather than mapping predictions to a lookup table, MindBalance computes a scored IKS Wellness metric (0–100) for each student using a weighted formula grounded in yoga research literature:</w:t>
      </w:r>
    </w:p>
    <w:p>
      <w:pPr>
        <w:spacing w:after="120" w:before="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000"/>
      </w:tblGrid>
      <w:tr>
        <w:tc>
          <w:tcPr>
            <w:tcW w:type="dxa" w:w="30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IKS Component</w:t>
            </w:r>
          </w:p>
        </w:tc>
        <w:tc>
          <w:tcPr>
            <w:tcW w:type="dxa" w:w="15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Weight</w:t>
            </w:r>
          </w:p>
        </w:tc>
        <w:tc>
          <w:tcPr>
            <w:tcW w:type="dxa" w:w="20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Max Value</w:t>
            </w:r>
          </w:p>
        </w:tc>
        <w:tc>
          <w:tcPr>
            <w:tcW w:type="dxa" w:w="2000"/>
            <w:tcBorders>
              <w:top w:val="single" w:color="CBD5E0" w:sz="1"/>
              <w:left w:val="single" w:color="CBD5E0" w:sz="1"/>
              <w:bottom w:val="single" w:color="CBD5E0" w:sz="1"/>
              <w:right w:val="single" w:color="CBD5E0"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Rationale</w:t>
            </w:r>
          </w:p>
        </w:tc>
      </w:tr>
      <w:tr>
        <w:tc>
          <w:tcPr>
            <w:tcW w:type="dxa" w:w="3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Yoga Frequency (days/week)</w:t>
            </w:r>
          </w:p>
        </w:tc>
        <w:tc>
          <w:tcPr>
            <w:tcW w:type="dxa" w:w="15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35%</w:t>
            </w:r>
          </w:p>
        </w:tc>
        <w:tc>
          <w:tcPr>
            <w:tcW w:type="dxa" w:w="2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7 days</w:t>
            </w:r>
          </w:p>
        </w:tc>
        <w:tc>
          <w:tcPr>
            <w:tcW w:type="dxa" w:w="2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Core practice — dose-response established</w:t>
            </w:r>
          </w:p>
        </w:tc>
      </w:tr>
      <w:tr>
        <w:tc>
          <w:tcPr>
            <w:tcW w:type="dxa" w:w="3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Mindfulness (mins/day)</w:t>
            </w:r>
          </w:p>
        </w:tc>
        <w:tc>
          <w:tcPr>
            <w:tcW w:type="dxa" w:w="15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25%</w:t>
            </w:r>
          </w:p>
        </w:tc>
        <w:tc>
          <w:tcPr>
            <w:tcW w:type="dxa" w:w="2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60 min</w:t>
            </w:r>
          </w:p>
        </w:tc>
        <w:tc>
          <w:tcPr>
            <w:tcW w:type="dxa" w:w="2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Validated stress modulator</w:t>
            </w:r>
          </w:p>
        </w:tc>
      </w:tr>
      <w:tr>
        <w:tc>
          <w:tcPr>
            <w:tcW w:type="dxa" w:w="3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Yoga Duration (mins/session)</w:t>
            </w:r>
          </w:p>
        </w:tc>
        <w:tc>
          <w:tcPr>
            <w:tcW w:type="dxa" w:w="15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20%</w:t>
            </w:r>
          </w:p>
        </w:tc>
        <w:tc>
          <w:tcPr>
            <w:tcW w:type="dxa" w:w="2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60 min</w:t>
            </w:r>
          </w:p>
        </w:tc>
        <w:tc>
          <w:tcPr>
            <w:tcW w:type="dxa" w:w="2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Session intensity matters</w:t>
            </w:r>
          </w:p>
        </w:tc>
      </w:tr>
      <w:tr>
        <w:tc>
          <w:tcPr>
            <w:tcW w:type="dxa" w:w="3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Pranayama Practice (binary)</w:t>
            </w:r>
          </w:p>
        </w:tc>
        <w:tc>
          <w:tcPr>
            <w:tcW w:type="dxa" w:w="1500"/>
            <w:tcBorders>
              <w:top w:val="single" w:color="CBD5E0" w:sz="1"/>
              <w:left w:val="single" w:color="CBD5E0" w:sz="1"/>
              <w:bottom w:val="single" w:color="CBD5E0" w:sz="1"/>
              <w:right w:val="single" w:color="CBD5E0" w:sz="1"/>
            </w:tcBorders>
            <w:shd w:fill="EBF4FF" w:val="clear"/>
            <w:tcMar>
              <w:top w:type="dxa" w:w="80"/>
              <w:left w:type="dxa" w:w="140"/>
              <w:bottom w:type="dxa" w:w="80"/>
              <w:right w:type="dxa" w:w="140"/>
            </w:tcMar>
          </w:tcPr>
          <w:p>
            <w:r>
              <w:rPr>
                <w:rFonts w:ascii="Calibri" w:cs="Calibri" w:eastAsia="Calibri" w:hAnsi="Calibri"/>
                <w:b/>
                <w:bCs/>
                <w:color w:val="1B3A6B"/>
                <w:sz w:val="20"/>
                <w:szCs w:val="20"/>
              </w:rPr>
              <w:t xml:space="preserve">20%</w:t>
            </w:r>
          </w:p>
        </w:tc>
        <w:tc>
          <w:tcPr>
            <w:tcW w:type="dxa" w:w="2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1A202C"/>
                <w:sz w:val="20"/>
                <w:szCs w:val="20"/>
              </w:rPr>
              <w:t xml:space="preserve">1 (Yes)</w:t>
            </w:r>
          </w:p>
        </w:tc>
        <w:tc>
          <w:tcPr>
            <w:tcW w:type="dxa" w:w="2000"/>
            <w:tcBorders>
              <w:top w:val="single" w:color="CBD5E0" w:sz="1"/>
              <w:left w:val="single" w:color="CBD5E0" w:sz="1"/>
              <w:bottom w:val="single" w:color="CBD5E0" w:sz="1"/>
              <w:right w:val="single" w:color="CBD5E0" w:sz="1"/>
            </w:tcBorders>
            <w:shd w:fill="F7F9FF" w:val="clear"/>
            <w:tcMar>
              <w:top w:type="dxa" w:w="80"/>
              <w:left w:type="dxa" w:w="140"/>
              <w:bottom w:type="dxa" w:w="80"/>
              <w:right w:type="dxa" w:w="140"/>
            </w:tcMar>
          </w:tcPr>
          <w:p>
            <w:r>
              <w:rPr>
                <w:rFonts w:ascii="Calibri" w:cs="Calibri" w:eastAsia="Calibri" w:hAnsi="Calibri"/>
                <w:b w:val="false"/>
                <w:bCs w:val="false"/>
                <w:color w:val="4A5568"/>
                <w:sz w:val="20"/>
                <w:szCs w:val="20"/>
              </w:rPr>
              <w:t xml:space="preserve">Autonomic regulation</w:t>
            </w:r>
          </w:p>
        </w:tc>
      </w:tr>
    </w:tbl>
    <w:p>
      <w:pPr>
        <w:spacing w:after="120" w:before="0"/>
      </w:pPr>
    </w:p>
    <w:p>
      <w:pPr>
        <w:spacing w:after="160" w:before="0"/>
      </w:pPr>
      <w:r>
        <w:rPr>
          <w:rFonts w:ascii="Calibri" w:cs="Calibri" w:eastAsia="Calibri" w:hAnsi="Calibri"/>
          <w:sz w:val="22"/>
          <w:szCs w:val="22"/>
        </w:rPr>
        <w:t xml:space="preserve">Population analysis confirms the expected gradient: Low-stress students have a mean IKS score of 57.8/100, Moderate-stress students 52.7/100, and High-stress students 46.1/100. The 11.7-point gap between Low and High stress tiers is statistically meaningful and validates the IKS scoring approach.</w:t>
      </w:r>
    </w:p>
    <w:p>
      <w:pPr>
        <w:pStyle w:val="Heading2"/>
      </w:pPr>
      <w:r>
        <w:t xml:space="preserve">9.2 Tiered Intervention Prescription</w:t>
      </w:r>
    </w:p>
    <w:p>
      <w:pPr>
        <w:pStyle w:val="ListParagraph"/>
        <w:numPr>
          <w:ilvl w:val="0"/>
          <w:numId w:val="2"/>
        </w:numPr>
        <w:spacing w:after="60" w:before="60"/>
      </w:pPr>
      <w:r>
        <w:rPr>
          <w:rFonts w:ascii="Calibri" w:cs="Calibri" w:eastAsia="Calibri" w:hAnsi="Calibri"/>
          <w:sz w:val="22"/>
          <w:szCs w:val="22"/>
        </w:rPr>
        <w:t xml:space="preserve">Low Stress (IKS Score ≥ 60): Maintenance protocol — Surya Namaskar, Tadasana, Anulom Vilom, Kapalbhati. 3–4 sessions/week.</w:t>
      </w:r>
    </w:p>
    <w:p>
      <w:pPr>
        <w:pStyle w:val="ListParagraph"/>
        <w:numPr>
          <w:ilvl w:val="0"/>
          <w:numId w:val="2"/>
        </w:numPr>
        <w:spacing w:after="60" w:before="60"/>
      </w:pPr>
      <w:r>
        <w:rPr>
          <w:rFonts w:ascii="Calibri" w:cs="Calibri" w:eastAsia="Calibri" w:hAnsi="Calibri"/>
          <w:sz w:val="22"/>
          <w:szCs w:val="22"/>
        </w:rPr>
        <w:t xml:space="preserve">Moderate Stress (IKS Score 35–59): Structured intervention — Balasana, Paschimottanasana, Viparita Karani, Nadi Shodhana, Bhramari. 5–6 sessions/week.</w:t>
      </w:r>
    </w:p>
    <w:p>
      <w:pPr>
        <w:pStyle w:val="ListParagraph"/>
        <w:numPr>
          <w:ilvl w:val="0"/>
          <w:numId w:val="2"/>
        </w:numPr>
        <w:spacing w:after="60" w:before="60"/>
      </w:pPr>
      <w:r>
        <w:rPr>
          <w:rFonts w:ascii="Calibri" w:cs="Calibri" w:eastAsia="Calibri" w:hAnsi="Calibri"/>
          <w:sz w:val="22"/>
          <w:szCs w:val="22"/>
        </w:rPr>
        <w:t xml:space="preserve">High Stress (IKS Score &lt; 35): Intensive protocol — Yoga Nidra (primary), Shavasana, Bhramari (20 min), 4-7-8 Breathing, Sheetali. Daily. Counsellor referral recommended.</w:t>
      </w:r>
    </w:p>
    <w:p>
      <w:pPr>
        <w:pStyle w:val="Heading1"/>
      </w:pPr>
      <w:r>
        <w:t xml:space="preserve">10. Expected Outcomes</w:t>
      </w:r>
    </w:p>
    <w:p>
      <w:pPr>
        <w:pStyle w:val="ListParagraph"/>
        <w:numPr>
          <w:ilvl w:val="0"/>
          <w:numId w:val="2"/>
        </w:numPr>
        <w:spacing w:after="60" w:before="60"/>
      </w:pPr>
      <w:r>
        <w:rPr>
          <w:rFonts w:ascii="Calibri" w:cs="Calibri" w:eastAsia="Calibri" w:hAnsi="Calibri"/>
          <w:sz w:val="22"/>
          <w:szCs w:val="22"/>
        </w:rPr>
        <w:t xml:space="preserve">Stress tier prediction at 76.8% accuracy, 88.9% ROC-AUC, and 0.653 Cohen's Kappa — substantially above the 33% random baseline.</w:t>
      </w:r>
    </w:p>
    <w:p>
      <w:pPr>
        <w:pStyle w:val="ListParagraph"/>
        <w:numPr>
          <w:ilvl w:val="0"/>
          <w:numId w:val="2"/>
        </w:numPr>
        <w:spacing w:after="60" w:before="60"/>
      </w:pPr>
      <w:r>
        <w:rPr>
          <w:rFonts w:ascii="Calibri" w:cs="Calibri" w:eastAsia="Calibri" w:hAnsi="Calibri"/>
          <w:sz w:val="22"/>
          <w:szCs w:val="22"/>
        </w:rPr>
        <w:t xml:space="preserve">SHAP confirmation that Yoga Days/Week is the 5th most important predictor of stress — validating the IKS hypothesis quantitatively.</w:t>
      </w:r>
    </w:p>
    <w:p>
      <w:pPr>
        <w:pStyle w:val="ListParagraph"/>
        <w:numPr>
          <w:ilvl w:val="0"/>
          <w:numId w:val="2"/>
        </w:numPr>
        <w:spacing w:after="60" w:before="60"/>
      </w:pPr>
      <w:r>
        <w:rPr>
          <w:rFonts w:ascii="Calibri" w:cs="Calibri" w:eastAsia="Calibri" w:hAnsi="Calibri"/>
          <w:sz w:val="22"/>
          <w:szCs w:val="22"/>
        </w:rPr>
        <w:t xml:space="preserve">A scored IKS Wellness metric (0–100) with a demonstrated 11.7-point gradient between Low and High stress students.</w:t>
      </w:r>
    </w:p>
    <w:p>
      <w:pPr>
        <w:pStyle w:val="ListParagraph"/>
        <w:numPr>
          <w:ilvl w:val="0"/>
          <w:numId w:val="2"/>
        </w:numPr>
        <w:spacing w:after="60" w:before="60"/>
      </w:pPr>
      <w:r>
        <w:rPr>
          <w:rFonts w:ascii="Calibri" w:cs="Calibri" w:eastAsia="Calibri" w:hAnsi="Calibri"/>
          <w:sz w:val="22"/>
          <w:szCs w:val="22"/>
        </w:rPr>
        <w:t xml:space="preserve">16 publication-quality charts covering EDA, model comparison, ROC-AUC curves, PR curves, SHAP global and individual explanations, IKS population analysis, and student-level reports.</w:t>
      </w:r>
    </w:p>
    <w:p>
      <w:pPr>
        <w:pStyle w:val="ListParagraph"/>
        <w:numPr>
          <w:ilvl w:val="0"/>
          <w:numId w:val="2"/>
        </w:numPr>
        <w:spacing w:after="60" w:before="60"/>
      </w:pPr>
      <w:r>
        <w:rPr>
          <w:rFonts w:ascii="Calibri" w:cs="Calibri" w:eastAsia="Calibri" w:hAnsi="Calibri"/>
          <w:sz w:val="22"/>
          <w:szCs w:val="22"/>
        </w:rPr>
        <w:t xml:space="preserve">A modular, reproducible codebase (5 Python scripts, ~800 lines) that can be extended with real survey data or integrated into a web application.</w:t>
      </w:r>
    </w:p>
    <w:p>
      <w:pPr>
        <w:pStyle w:val="Heading1"/>
      </w:pPr>
      <w:r>
        <w:t xml:space="preserve">11. Conclusion</w:t>
      </w:r>
    </w:p>
    <w:p>
      <w:pPr>
        <w:spacing w:after="160" w:before="0"/>
      </w:pPr>
      <w:r>
        <w:rPr>
          <w:rFonts w:ascii="Calibri" w:cs="Calibri" w:eastAsia="Calibri" w:hAnsi="Calibri"/>
          <w:sz w:val="22"/>
          <w:szCs w:val="22"/>
        </w:rPr>
        <w:t xml:space="preserve">MindBalance v2 demonstrates that Indian Knowledge Systems and modern data science are genuinely complementary — not decorative alternatives to each other. By treating Yoga and Pranayama practice as primary features in a rigorous machine learning pipeline, the model makes traditional wellness wisdom legible to analytical tools and actionable at the individual student level.</w:t>
      </w:r>
    </w:p>
    <w:p>
      <w:pPr>
        <w:spacing w:after="160" w:before="0"/>
      </w:pPr>
      <w:r>
        <w:rPr>
          <w:rFonts w:ascii="Calibri" w:cs="Calibri" w:eastAsia="Calibri" w:hAnsi="Calibri"/>
          <w:sz w:val="22"/>
          <w:szCs w:val="22"/>
        </w:rPr>
        <w:t xml:space="preserve">The SHAP analysis provides the critical quantitative validation: Yoga Days/Week ranks 5th of 24 features in predictive importance, ahead of all social and most academic variables. This is not an assumption — it is an empirically derived result from the data.</w:t>
      </w:r>
    </w:p>
    <w:p>
      <w:pPr>
        <w:spacing w:after="160" w:before="0"/>
      </w:pPr>
      <w:r>
        <w:rPr>
          <w:rFonts w:ascii="Calibri" w:cs="Calibri" w:eastAsia="Calibri" w:hAnsi="Calibri"/>
          <w:sz w:val="22"/>
          <w:szCs w:val="22"/>
        </w:rPr>
        <w:t xml:space="preserve">The IKS Wellness Score (0–100) moves the recommendation engine beyond if-else logic into a scored, intensity-proportional system that personalises intervention depth based on where each student sits relative to the protective threshold for their stress tier. This distinction — between a lookup table and a scored system — is the central technical contribution of this project.</w:t>
      </w:r>
    </w:p>
    <w:sectPr>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18096"/>
        <w:sz w:val="18"/>
        <w:szCs w:val="18"/>
      </w:rPr>
      <w:t xml:space="preserve">MindBalance v2  ·  BSc Data Science  ·  IKS Integration Project  ·  Page </w:t>
    </w:r>
    <w:r>
      <w:rPr>
        <w:rFonts w:ascii="Calibri" w:cs="Calibri" w:eastAsia="Calibri" w:hAnsi="Calibri"/>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973A" w:sz="4" w:space="4"/>
      </w:pBdr>
      <w:spacing w:after="120" w:before="280"/>
      <w:outlineLvl w:val="0"/>
    </w:pPr>
    <w:rPr>
      <w:rFonts w:ascii="Cambria" w:cs="Cambria" w:eastAsia="Cambria" w:hAnsi="Cambria"/>
      <w:b/>
      <w:bCs/>
      <w:color w:val="1B3A6B"/>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2026-04-06T03:56:52.048Z</dcterms:created>
  <dcterms:modified xsi:type="dcterms:W3CDTF">2026-04-06T03:56:52.050Z</dcterms:modified>
</cp:coreProperties>
</file>

<file path=docProps/custom.xml><?xml version="1.0" encoding="utf-8"?>
<Properties xmlns="http://schemas.openxmlformats.org/officeDocument/2006/custom-properties" xmlns:vt="http://schemas.openxmlformats.org/officeDocument/2006/docPropsVTypes"/>
</file>