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262626"/>
        </w:rPr>
        <w:t xml:space="preserve">Interactive Journey: Template Specification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This document outlines the capabilities, logic, and functional elements of the 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Interactive Journey</w:t>
      </w:r>
      <w:r>
        <w:rPr>
          <w:rFonts w:ascii="Helvetica" w:hAnsi="Helvetica" w:cs="Helvetica"/>
          <w:sz w:val="24"/>
          <w:sz-cs w:val="24"/>
          <w:spacing w:val="0"/>
        </w:rPr>
        <w:t xml:space="preserve"> framework. Built with modular, vanilla HTML/CSS/JavaScript, this repository acts as a blueprint for visualizing complex, multi-phased workflows, complete with media, tooltips, interactive charting, and an embedded AI assistant.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434343"/>
        </w:rPr>
        <w:t xml:space="preserve">1. Introductory Sequence (Data Synthesis Animation)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Upon initialization, the page dynamically executes an atmospheric loading state designed to convey synthesis.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Particle System</w:t>
      </w:r>
      <w:r>
        <w:rPr>
          <w:rFonts w:ascii="Helvetica" w:hAnsi="Helvetica" w:cs="Helvetica"/>
          <w:sz w:val="24"/>
          <w:sz-cs w:val="24"/>
          <w:spacing w:val="0"/>
        </w:rPr>
        <w:t xml:space="preserve">: Spawns multiple "data particle" pills (simulating messy, unstructured data) floating atop a darkened, blurred overlay.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Convergence &amp; Morph</w:t>
      </w:r>
      <w:r>
        <w:rPr>
          <w:rFonts w:ascii="Helvetica" w:hAnsi="Helvetica" w:cs="Helvetica"/>
          <w:sz w:val="24"/>
          <w:sz-cs w:val="24"/>
          <w:spacing w:val="0"/>
        </w:rPr>
        <w:t xml:space="preserve">: The particles swiftly converge to the exact center of the screen, perfectly blending and morphing into a single glowing geometric bubble.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Symphonic Reveal</w:t>
      </w:r>
      <w:r>
        <w:rPr>
          <w:rFonts w:ascii="Helvetica" w:hAnsi="Helvetica" w:cs="Helvetica"/>
          <w:sz w:val="24"/>
          <w:sz-cs w:val="24"/>
          <w:spacing w:val="0"/>
        </w:rPr>
        <w:t xml:space="preserve">: The unified bubble expands outward as an invisible mask, simultaneously fading out to instantly unveil the cleanly structured Interactive Journey flowchart beneath it.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Cleanup</w:t>
      </w:r>
      <w:r>
        <w:rPr>
          <w:rFonts w:ascii="Helvetica" w:hAnsi="Helvetica" w:cs="Helvetica"/>
          <w:sz w:val="24"/>
          <w:sz-cs w:val="24"/>
          <w:spacing w:val="0"/>
        </w:rPr>
        <w:t xml:space="preserve">: The overlay nodes are completely removed from the DOM after the 4-second sequence to ensure the journey is fully interactive.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434343"/>
        </w:rPr>
        <w:t xml:space="preserve">2. Core Layout &amp; Architecture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535353"/>
        </w:rPr>
        <w:t xml:space="preserve">Visual Theme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Glassmorphism</w:t>
      </w:r>
      <w:r>
        <w:rPr>
          <w:rFonts w:ascii="Helvetica" w:hAnsi="Helvetica" w:cs="Helvetica"/>
          <w:sz w:val="24"/>
          <w:sz-cs w:val="24"/>
          <w:spacing w:val="0"/>
        </w:rPr>
        <w:t xml:space="preserve">: Modals, tooltips, cards, and floating panels rely on heavy backdrop-blurs, glowing drop shadows (</w:t>
      </w:r>
      <w:r>
        <w:rPr>
          <w:rFonts w:ascii="Courier" w:hAnsi="Courier" w:cs="Courier"/>
          <w:sz w:val="26"/>
          <w:sz-cs w:val="26"/>
          <w:spacing w:val="0"/>
        </w:rPr>
        <w:t xml:space="preserve">rgba(99, 102, 241, 0.4)</w:t>
      </w:r>
      <w:r>
        <w:rPr>
          <w:rFonts w:ascii="Helvetica" w:hAnsi="Helvetica" w:cs="Helvetica"/>
          <w:sz w:val="24"/>
          <w:sz-cs w:val="24"/>
          <w:spacing w:val="0"/>
        </w:rPr>
        <w:t xml:space="preserve">), and translucent borders (</w:t>
      </w:r>
      <w:r>
        <w:rPr>
          <w:rFonts w:ascii="Courier" w:hAnsi="Courier" w:cs="Courier"/>
          <w:sz w:val="26"/>
          <w:sz-cs w:val="26"/>
          <w:spacing w:val="0"/>
        </w:rPr>
        <w:t xml:space="preserve">rgba(255, 255, 255, 0.1)</w:t>
      </w:r>
      <w:r>
        <w:rPr>
          <w:rFonts w:ascii="Helvetica" w:hAnsi="Helvetica" w:cs="Helvetica"/>
          <w:sz w:val="24"/>
          <w:sz-cs w:val="24"/>
          <w:spacing w:val="0"/>
        </w:rPr>
        <w:t xml:space="preserve">).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Dark Mode Background</w:t>
      </w:r>
      <w:r>
        <w:rPr>
          <w:rFonts w:ascii="Helvetica" w:hAnsi="Helvetica" w:cs="Helvetica"/>
          <w:sz w:val="24"/>
          <w:sz-cs w:val="24"/>
          <w:spacing w:val="0"/>
        </w:rPr>
        <w:t xml:space="preserve">: Utilizes variables for a space-themed dark mode (</w:t>
      </w:r>
      <w:r>
        <w:rPr>
          <w:rFonts w:ascii="Courier" w:hAnsi="Courier" w:cs="Courier"/>
          <w:sz w:val="26"/>
          <w:sz-cs w:val="26"/>
          <w:spacing w:val="0"/>
        </w:rPr>
        <w:t xml:space="preserve">--bg-dark</w:t>
      </w:r>
      <w:r>
        <w:rPr>
          <w:rFonts w:ascii="Helvetica" w:hAnsi="Helvetica" w:cs="Helvetica"/>
          <w:sz w:val="24"/>
          <w:sz-cs w:val="24"/>
          <w:spacing w:val="0"/>
        </w:rPr>
        <w:t xml:space="preserve">), overlaid with a </w:t>
      </w:r>
      <w:r>
        <w:rPr>
          <w:rFonts w:ascii="Courier" w:hAnsi="Courier" w:cs="Courier"/>
          <w:sz w:val="26"/>
          <w:sz-cs w:val="26"/>
          <w:spacing w:val="0"/>
        </w:rPr>
        <w:t xml:space="preserve">.bg-grid</w:t>
      </w:r>
      <w:r>
        <w:rPr>
          <w:rFonts w:ascii="Helvetica" w:hAnsi="Helvetica" w:cs="Helvetica"/>
          <w:sz w:val="24"/>
          <w:sz-cs w:val="24"/>
          <w:spacing w:val="0"/>
        </w:rPr>
        <w:t xml:space="preserve"> to simulate a blueprint or architectural mapping surface. Slowly drifting ambient </w:t>
      </w:r>
      <w:r>
        <w:rPr>
          <w:rFonts w:ascii="Courier" w:hAnsi="Courier" w:cs="Courier"/>
          <w:sz w:val="26"/>
          <w:sz-cs w:val="26"/>
          <w:spacing w:val="0"/>
        </w:rPr>
        <w:t xml:space="preserve">.floating-orb</w:t>
      </w:r>
      <w:r>
        <w:rPr>
          <w:rFonts w:ascii="Helvetica" w:hAnsi="Helvetica" w:cs="Helvetica"/>
          <w:sz w:val="24"/>
          <w:sz-cs w:val="24"/>
          <w:spacing w:val="0"/>
        </w:rPr>
        <w:t xml:space="preserve"> elements inject motion into the negative space.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535353"/>
        </w:rPr>
        <w:t xml:space="preserve">Structural Grid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Phase Timeline (Horizontal)</w:t>
      </w:r>
      <w:r>
        <w:rPr>
          <w:rFonts w:ascii="Helvetica" w:hAnsi="Helvetica" w:cs="Helvetica"/>
          <w:sz w:val="24"/>
          <w:sz-cs w:val="24"/>
          <w:spacing w:val="0"/>
        </w:rPr>
        <w:t xml:space="preserve">: A sticky header delineating logical steps or chronological phases of a given journey (e.g., Phase 1 | Phase 2 | Phase 3).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Swimlanes (Vertical Segments)</w:t>
      </w:r>
      <w:r>
        <w:rPr>
          <w:rFonts w:ascii="Helvetica" w:hAnsi="Helvetica" w:cs="Helvetica"/>
          <w:sz w:val="24"/>
          <w:sz-cs w:val="24"/>
          <w:spacing w:val="0"/>
        </w:rPr>
        <w:t xml:space="preserve">: Horizontal blocks splitting the board by persona, context, or workflow (e.g., "Designing", "Building", "Back-office").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Footer / Touchpoints</w:t>
      </w:r>
      <w:r>
        <w:rPr>
          <w:rFonts w:ascii="Helvetica" w:hAnsi="Helvetica" w:cs="Helvetica"/>
          <w:sz w:val="24"/>
          <w:sz-cs w:val="24"/>
          <w:spacing w:val="0"/>
        </w:rPr>
        <w:t xml:space="preserve">: A horizontal band at the base displaying offline or cross-functional global "Touchpoints" corresponding to specific timeline phases.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434343"/>
        </w:rPr>
        <w:t xml:space="preserve">3. Map Elements: Nodes &amp; Connectors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535353"/>
        </w:rPr>
        <w:t xml:space="preserve">Step Nodes </w:t>
      </w:r>
      <w:r>
        <w:rPr>
          <w:rFonts w:ascii="Courier" w:hAnsi="Courier" w:cs="Courier"/>
          <w:sz w:val="30"/>
          <w:sz-cs w:val="30"/>
          <w:b/>
          <w:spacing w:val="0"/>
          <w:color w:val="535353"/>
        </w:rPr>
        <w:t xml:space="preserve">.step-node</w:t>
      </w:r>
      <w:r>
        <w:rPr>
          <w:rFonts w:ascii="Helvetica" w:hAnsi="Helvetica" w:cs="Helvetica"/>
          <w:sz w:val="28"/>
          <w:sz-cs w:val="28"/>
          <w:b/>
          <w:spacing w:val="0"/>
          <w:color w:val="535353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The primary interactive building block.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Text Labels</w:t>
      </w:r>
      <w:r>
        <w:rPr>
          <w:rFonts w:ascii="Helvetica" w:hAnsi="Helvetica" w:cs="Helvetica"/>
          <w:sz w:val="24"/>
          <w:sz-cs w:val="24"/>
          <w:spacing w:val="0"/>
        </w:rPr>
        <w:t xml:space="preserve">: Represent an isolated action.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Hover States</w:t>
      </w:r>
      <w:r>
        <w:rPr>
          <w:rFonts w:ascii="Helvetica" w:hAnsi="Helvetica" w:cs="Helvetica"/>
          <w:sz w:val="24"/>
          <w:sz-cs w:val="24"/>
          <w:spacing w:val="0"/>
        </w:rPr>
        <w:t xml:space="preserve">: Expanding borders and inner gradients with swift cubic-bezier transitions signify interactivity.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Information Tooltips/Cards</w:t>
      </w:r>
      <w:r>
        <w:rPr>
          <w:rFonts w:ascii="Helvetica" w:hAnsi="Helvetica" w:cs="Helvetica"/>
          <w:sz w:val="24"/>
          <w:sz-cs w:val="24"/>
          <w:spacing w:val="0"/>
        </w:rPr>
        <w:t xml:space="preserve">: Hovering over designated nodes reveals floating glassmorphic </w:t>
      </w:r>
      <w:r>
        <w:rPr>
          <w:rFonts w:ascii="Courier" w:hAnsi="Courier" w:cs="Courier"/>
          <w:sz w:val="26"/>
          <w:sz-cs w:val="26"/>
          <w:spacing w:val="0"/>
        </w:rPr>
        <w:t xml:space="preserve">.card</w:t>
      </w:r>
      <w:r>
        <w:rPr>
          <w:rFonts w:ascii="Helvetica" w:hAnsi="Helvetica" w:cs="Helvetica"/>
          <w:sz w:val="24"/>
          <w:sz-cs w:val="24"/>
          <w:spacing w:val="0"/>
        </w:rPr>
        <w:t xml:space="preserve"> panels.</w:t>
      </w:r>
    </w:p>
    <w:p>
      <w:pPr>
        <w:ind w:left="1440" w:first-line="-1440"/>
        <w:spacing w:after="16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Driven by an injected JavaScript </w:t>
      </w:r>
      <w:r>
        <w:rPr>
          <w:rFonts w:ascii="Courier" w:hAnsi="Courier" w:cs="Courier"/>
          <w:sz w:val="26"/>
          <w:sz-cs w:val="26"/>
          <w:spacing w:val="0"/>
        </w:rPr>
        <w:t xml:space="preserve">cardData</w:t>
      </w:r>
      <w:r>
        <w:rPr>
          <w:rFonts w:ascii="Helvetica" w:hAnsi="Helvetica" w:cs="Helvetica"/>
          <w:sz w:val="24"/>
          <w:sz-cs w:val="24"/>
          <w:spacing w:val="0"/>
        </w:rPr>
        <w:t xml:space="preserve"> object mapping </w:t>
      </w:r>
      <w:r>
        <w:rPr>
          <w:rFonts w:ascii="Courier" w:hAnsi="Courier" w:cs="Courier"/>
          <w:sz w:val="26"/>
          <w:sz-cs w:val="26"/>
          <w:spacing w:val="0"/>
        </w:rPr>
        <w:t xml:space="preserve">nodeID</w:t>
      </w:r>
      <w:r>
        <w:rPr>
          <w:rFonts w:ascii="Helvetica" w:hAnsi="Helvetica" w:cs="Helvetica"/>
          <w:sz w:val="24"/>
          <w:sz-cs w:val="24"/>
          <w:spacing w:val="0"/>
        </w:rPr>
        <w:t xml:space="preserve"> to HTML content.</w:t>
      </w:r>
    </w:p>
    <w:p>
      <w:pPr>
        <w:ind w:left="1440" w:first-line="-1440"/>
        <w:spacing w:after="160"/>
      </w:pPr>
      <w:r>
        <w:rPr>
          <w:rFonts w:ascii="Helvetica" w:hAnsi="Helvetica" w:cs="Helvetica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spacing w:val="0"/>
        </w:rPr>
        <w:t xml:space="preserve">Tooltips dynamically render titles, tags, bulleted lists, and paragraph context.</w:t>
      </w:r>
    </w:p>
    <w:p>
      <w:pPr>
        <w:ind w:left="1440" w:first-line="-1440"/>
        <w:spacing w:after="160"/>
      </w:pPr>
      <w:r>
        <w:rPr>
          <w:rFonts w:ascii="Helvetica" w:hAnsi="Helvetica" w:cs="Helvetica"/>
          <w:sz w:val="24"/>
          <w:sz-cs w:val="24"/>
          <w:i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i/>
          <w:spacing w:val="0"/>
        </w:rPr>
        <w:t xml:space="preserve">Note</w:t>
      </w:r>
      <w:r>
        <w:rPr>
          <w:rFonts w:ascii="Helvetica" w:hAnsi="Helvetica" w:cs="Helvetica"/>
          <w:sz w:val="24"/>
          <w:sz-cs w:val="24"/>
          <w:spacing w:val="0"/>
        </w:rPr>
        <w:t xml:space="preserve">: Position calculations handle relative offset spacing based on cursor interaction.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535353"/>
        </w:rPr>
        <w:t xml:space="preserve">Connections &amp; Flow Lines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SVG Layering</w:t>
      </w:r>
      <w:r>
        <w:rPr>
          <w:rFonts w:ascii="Helvetica" w:hAnsi="Helvetica" w:cs="Helvetica"/>
          <w:sz w:val="24"/>
          <w:sz-cs w:val="24"/>
          <w:spacing w:val="0"/>
        </w:rPr>
        <w:t xml:space="preserve">: An absolutley positioned </w:t>
      </w:r>
      <w:r>
        <w:rPr>
          <w:rFonts w:ascii="Courier" w:hAnsi="Courier" w:cs="Courier"/>
          <w:sz w:val="26"/>
          <w:sz-cs w:val="26"/>
          <w:spacing w:val="0"/>
        </w:rPr>
        <w:t xml:space="preserve">&lt;svg class="connections"&gt;</w:t>
      </w:r>
      <w:r>
        <w:rPr>
          <w:rFonts w:ascii="Helvetica" w:hAnsi="Helvetica" w:cs="Helvetica"/>
          <w:sz w:val="24"/>
          <w:sz-cs w:val="24"/>
          <w:spacing w:val="0"/>
        </w:rPr>
        <w:t xml:space="preserve"> layer overlays the grid.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Dynamic Routing</w:t>
      </w:r>
      <w:r>
        <w:rPr>
          <w:rFonts w:ascii="Helvetica" w:hAnsi="Helvetica" w:cs="Helvetica"/>
          <w:sz w:val="24"/>
          <w:sz-cs w:val="24"/>
          <w:spacing w:val="0"/>
        </w:rPr>
        <w:t xml:space="preserve">: JavaScript computes coordinates between </w:t>
      </w:r>
      <w:r>
        <w:rPr>
          <w:rFonts w:ascii="Courier" w:hAnsi="Courier" w:cs="Courier"/>
          <w:sz w:val="26"/>
          <w:sz-cs w:val="26"/>
          <w:spacing w:val="0"/>
        </w:rPr>
        <w:t xml:space="preserve">[data-source]</w:t>
      </w:r>
      <w:r>
        <w:rPr>
          <w:rFonts w:ascii="Helvetica" w:hAnsi="Helvetica" w:cs="Helvetica"/>
          <w:sz w:val="24"/>
          <w:sz-cs w:val="24"/>
          <w:spacing w:val="0"/>
        </w:rPr>
        <w:t xml:space="preserve"> nodes and </w:t>
      </w:r>
      <w:r>
        <w:rPr>
          <w:rFonts w:ascii="Courier" w:hAnsi="Courier" w:cs="Courier"/>
          <w:sz w:val="26"/>
          <w:sz-cs w:val="26"/>
          <w:spacing w:val="0"/>
        </w:rPr>
        <w:t xml:space="preserve">[data-target]</w:t>
      </w:r>
      <w:r>
        <w:rPr>
          <w:rFonts w:ascii="Helvetica" w:hAnsi="Helvetica" w:cs="Helvetica"/>
          <w:sz w:val="24"/>
          <w:sz-cs w:val="24"/>
          <w:spacing w:val="0"/>
        </w:rPr>
        <w:t xml:space="preserve"> nodes.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Cross-Lane Logic</w:t>
      </w:r>
      <w:r>
        <w:rPr>
          <w:rFonts w:ascii="Helvetica" w:hAnsi="Helvetica" w:cs="Helvetica"/>
          <w:sz w:val="24"/>
          <w:sz-cs w:val="24"/>
          <w:spacing w:val="0"/>
        </w:rPr>
        <w:t xml:space="preserve">: Curving, Bezier-based paths visually illustrate flow jumping boundaries from top swimlanes to bottom swimlanes, rendering dashed or dotted stroke styles with animated, directional arrowheads at the destination.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Modular Mapping</w:t>
      </w:r>
      <w:r>
        <w:rPr>
          <w:rFonts w:ascii="Helvetica" w:hAnsi="Helvetica" w:cs="Helvetica"/>
          <w:sz w:val="24"/>
          <w:sz-cs w:val="24"/>
          <w:spacing w:val="0"/>
        </w:rPr>
        <w:t xml:space="preserve">: Adding connections only requires assigning element IDs directly in the markup or within the drawing iteration loop.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434343"/>
        </w:rPr>
        <w:t xml:space="preserve">4. Modal Embedded Content (iFrames)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Triggers</w:t>
      </w:r>
      <w:r>
        <w:rPr>
          <w:rFonts w:ascii="Helvetica" w:hAnsi="Helvetica" w:cs="Helvetica"/>
          <w:sz w:val="24"/>
          <w:sz-cs w:val="24"/>
          <w:spacing w:val="0"/>
        </w:rPr>
        <w:t xml:space="preserve">: Designated touchpoints or nodes feature a trigger class (</w:t>
      </w:r>
      <w:r>
        <w:rPr>
          <w:rFonts w:ascii="Courier" w:hAnsi="Courier" w:cs="Courier"/>
          <w:sz w:val="26"/>
          <w:sz-cs w:val="26"/>
          <w:spacing w:val="0"/>
        </w:rPr>
        <w:t xml:space="preserve">.interactive-touchpoint</w:t>
      </w:r>
      <w:r>
        <w:rPr>
          <w:rFonts w:ascii="Helvetica" w:hAnsi="Helvetica" w:cs="Helvetica"/>
          <w:sz w:val="24"/>
          <w:sz-cs w:val="24"/>
          <w:spacing w:val="0"/>
        </w:rPr>
        <w:t xml:space="preserve"> or </w:t>
      </w:r>
      <w:r>
        <w:rPr>
          <w:rFonts w:ascii="Courier" w:hAnsi="Courier" w:cs="Courier"/>
          <w:sz w:val="26"/>
          <w:sz-cs w:val="26"/>
          <w:spacing w:val="0"/>
        </w:rPr>
        <w:t xml:space="preserve">.modal-trigger</w:t>
      </w:r>
      <w:r>
        <w:rPr>
          <w:rFonts w:ascii="Helvetica" w:hAnsi="Helvetica" w:cs="Helvetica"/>
          <w:sz w:val="24"/>
          <w:sz-cs w:val="24"/>
          <w:spacing w:val="0"/>
        </w:rPr>
        <w:t xml:space="preserve">).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Overlay</w:t>
      </w:r>
      <w:r>
        <w:rPr>
          <w:rFonts w:ascii="Helvetica" w:hAnsi="Helvetica" w:cs="Helvetica"/>
          <w:sz w:val="24"/>
          <w:sz-cs w:val="24"/>
          <w:spacing w:val="0"/>
        </w:rPr>
        <w:t xml:space="preserve">: A darkened, blurred global overlay </w:t>
      </w:r>
      <w:r>
        <w:rPr>
          <w:rFonts w:ascii="Courier" w:hAnsi="Courier" w:cs="Courier"/>
          <w:sz w:val="26"/>
          <w:sz-cs w:val="26"/>
          <w:spacing w:val="0"/>
        </w:rPr>
        <w:t xml:space="preserve">.modal-overlay</w:t>
      </w:r>
      <w:r>
        <w:rPr>
          <w:rFonts w:ascii="Helvetica" w:hAnsi="Helvetica" w:cs="Helvetica"/>
          <w:sz w:val="24"/>
          <w:sz-cs w:val="24"/>
          <w:spacing w:val="0"/>
        </w:rPr>
        <w:t xml:space="preserve"> captures strict focus. Built-in </w:t>
      </w:r>
      <w:r>
        <w:rPr>
          <w:rFonts w:ascii="Courier" w:hAnsi="Courier" w:cs="Courier"/>
          <w:sz w:val="26"/>
          <w:sz-cs w:val="26"/>
          <w:spacing w:val="0"/>
        </w:rPr>
        <w:t xml:space="preserve">fade-in</w:t>
      </w:r>
      <w:r>
        <w:rPr>
          <w:rFonts w:ascii="Helvetica" w:hAnsi="Helvetica" w:cs="Helvetica"/>
          <w:sz w:val="24"/>
          <w:sz-cs w:val="24"/>
          <w:spacing w:val="0"/>
        </w:rPr>
        <w:t xml:space="preserve"> logic.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iFrame Container</w:t>
      </w:r>
      <w:r>
        <w:rPr>
          <w:rFonts w:ascii="Helvetica" w:hAnsi="Helvetica" w:cs="Helvetica"/>
          <w:sz w:val="24"/>
          <w:sz-cs w:val="24"/>
          <w:spacing w:val="0"/>
        </w:rPr>
        <w:t xml:space="preserve">: A premium container slides in gracefully (</w:t>
      </w:r>
      <w:r>
        <w:rPr>
          <w:rFonts w:ascii="Courier" w:hAnsi="Courier" w:cs="Courier"/>
          <w:sz w:val="26"/>
          <w:sz-cs w:val="26"/>
          <w:spacing w:val="0"/>
        </w:rPr>
        <w:t xml:space="preserve">transform: translateY(-20px) to (0)</w:t>
      </w:r>
      <w:r>
        <w:rPr>
          <w:rFonts w:ascii="Helvetica" w:hAnsi="Helvetica" w:cs="Helvetica"/>
          <w:sz w:val="24"/>
          <w:sz-cs w:val="24"/>
          <w:spacing w:val="0"/>
        </w:rPr>
        <w:t xml:space="preserve">), encapsulating an embedded window </w:t>
      </w:r>
      <w:r>
        <w:rPr>
          <w:rFonts w:ascii="Courier" w:hAnsi="Courier" w:cs="Courier"/>
          <w:sz w:val="26"/>
          <w:sz-cs w:val="26"/>
          <w:spacing w:val="0"/>
        </w:rPr>
        <w:t xml:space="preserve">&lt;iframe&gt;</w:t>
      </w:r>
      <w:r>
        <w:rPr>
          <w:rFonts w:ascii="Helvetica" w:hAnsi="Helvetica" w:cs="Helvetica"/>
          <w:sz w:val="24"/>
          <w:sz-cs w:val="24"/>
          <w:spacing w:val="0"/>
        </w:rPr>
        <w:t xml:space="preserve">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Purpose</w:t>
      </w:r>
      <w:r>
        <w:rPr>
          <w:rFonts w:ascii="Helvetica" w:hAnsi="Helvetica" w:cs="Helvetica"/>
          <w:sz w:val="24"/>
          <w:sz-cs w:val="24"/>
          <w:spacing w:val="0"/>
        </w:rPr>
        <w:t xml:space="preserve">: Enables showcasing fully functional sub-applications, external tools, or specific prototypes directly within the narrative context of the flowchart, without navigating away.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Dismissal</w:t>
      </w:r>
      <w:r>
        <w:rPr>
          <w:rFonts w:ascii="Helvetica" w:hAnsi="Helvetica" w:cs="Helvetica"/>
          <w:sz w:val="24"/>
          <w:sz-cs w:val="24"/>
          <w:spacing w:val="0"/>
        </w:rPr>
        <w:t xml:space="preserve">: Handled via an absolute positioned 'X' button or generic click-out listeners on the overlay.</w:t>
      </w:r>
    </w:p>
    <w:p>
      <w:pPr>
        <w:spacing w:after="298"/>
      </w:pPr>
      <w:r>
        <w:rPr>
          <w:rFonts w:ascii="Helvetica" w:hAnsi="Helvetica" w:cs="Helvetica"/>
          <w:sz w:val="36"/>
          <w:sz-cs w:val="36"/>
          <w:b/>
          <w:spacing w:val="0"/>
          <w:color w:val="434343"/>
        </w:rPr>
        <w:t xml:space="preserve">5. Global AI Chatbot Widget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A ubiquitous, intelligent contextual assistant living in the bottom-right corner.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535353"/>
        </w:rPr>
        <w:t xml:space="preserve">Chat Interface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Floating Action Button (FAB)</w:t>
      </w:r>
      <w:r>
        <w:rPr>
          <w:rFonts w:ascii="Helvetica" w:hAnsi="Helvetica" w:cs="Helvetica"/>
          <w:sz w:val="24"/>
          <w:sz-cs w:val="24"/>
          <w:spacing w:val="0"/>
        </w:rPr>
        <w:t xml:space="preserve">: A glowing toggle button featuring a hover micro-animation that summons the panel.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Messaging App Panel</w:t>
      </w:r>
      <w:r>
        <w:rPr>
          <w:rFonts w:ascii="Helvetica" w:hAnsi="Helvetica" w:cs="Helvetica"/>
          <w:sz w:val="24"/>
          <w:sz-cs w:val="24"/>
          <w:spacing w:val="0"/>
        </w:rPr>
        <w:t xml:space="preserve">: A rigid, glassmorphic column showcasing conversational history (</w:t>
      </w:r>
      <w:r>
        <w:rPr>
          <w:rFonts w:ascii="Courier" w:hAnsi="Courier" w:cs="Courier"/>
          <w:sz w:val="26"/>
          <w:sz-cs w:val="26"/>
          <w:spacing w:val="0"/>
        </w:rPr>
        <w:t xml:space="preserve">.chat-messages</w:t>
      </w:r>
      <w:r>
        <w:rPr>
          <w:rFonts w:ascii="Helvetica" w:hAnsi="Helvetica" w:cs="Helvetica"/>
          <w:sz w:val="24"/>
          <w:sz-cs w:val="24"/>
          <w:spacing w:val="0"/>
        </w:rPr>
        <w:t xml:space="preserve">) and a dedicated text-input footer (</w:t>
      </w:r>
      <w:r>
        <w:rPr>
          <w:rFonts w:ascii="Courier" w:hAnsi="Courier" w:cs="Courier"/>
          <w:sz w:val="26"/>
          <w:sz-cs w:val="26"/>
          <w:spacing w:val="0"/>
        </w:rPr>
        <w:t xml:space="preserve">.ai-input-area</w:t>
      </w:r>
      <w:r>
        <w:rPr>
          <w:rFonts w:ascii="Helvetica" w:hAnsi="Helvetica" w:cs="Helvetica"/>
          <w:sz w:val="24"/>
          <w:sz-cs w:val="24"/>
          <w:spacing w:val="0"/>
        </w:rPr>
        <w:t xml:space="preserve">).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Simulated Intelligence</w:t>
      </w:r>
      <w:r>
        <w:rPr>
          <w:rFonts w:ascii="Helvetica" w:hAnsi="Helvetica" w:cs="Helvetica"/>
          <w:sz w:val="24"/>
          <w:sz-cs w:val="24"/>
          <w:spacing w:val="0"/>
        </w:rPr>
        <w:t xml:space="preserve">:</w:t>
      </w:r>
    </w:p>
    <w:p>
      <w:pPr>
        <w:ind w:left="1440" w:first-line="-144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Message Delay</w:t>
      </w:r>
      <w:r>
        <w:rPr>
          <w:rFonts w:ascii="Helvetica" w:hAnsi="Helvetica" w:cs="Helvetica"/>
          <w:sz w:val="24"/>
          <w:sz-cs w:val="24"/>
          <w:spacing w:val="0"/>
        </w:rPr>
        <w:t xml:space="preserve">: Implements a fake typing delay (1.5 - 2.5 seconds) with animated </w:t>
      </w:r>
      <w:r>
        <w:rPr>
          <w:rFonts w:ascii="Courier" w:hAnsi="Courier" w:cs="Courier"/>
          <w:sz w:val="26"/>
          <w:sz-cs w:val="26"/>
          <w:spacing w:val="0"/>
        </w:rPr>
        <w:t xml:space="preserve">.typing-dot</w:t>
      </w:r>
      <w:r>
        <w:rPr>
          <w:rFonts w:ascii="Helvetica" w:hAnsi="Helvetica" w:cs="Helvetica"/>
          <w:sz w:val="24"/>
          <w:sz-cs w:val="24"/>
          <w:spacing w:val="0"/>
        </w:rPr>
        <w:t xml:space="preserve"> elements for realism, keeping the user engaged in a natural dialogue cadence.</w:t>
      </w:r>
    </w:p>
    <w:p>
      <w:pPr>
        <w:ind w:left="1440" w:first-line="-144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Context Parsing</w:t>
      </w:r>
      <w:r>
        <w:rPr>
          <w:rFonts w:ascii="Helvetica" w:hAnsi="Helvetica" w:cs="Helvetica"/>
          <w:sz w:val="24"/>
          <w:sz-cs w:val="24"/>
          <w:spacing w:val="0"/>
        </w:rPr>
        <w:t xml:space="preserve">: Receives user query text and searches against keywords (e.g., "phase 3", "how do I look for a product") to trigger corresponding </w:t>
      </w:r>
      <w:r>
        <w:rPr>
          <w:rFonts w:ascii="Courier" w:hAnsi="Courier" w:cs="Courier"/>
          <w:sz w:val="26"/>
          <w:sz-cs w:val="26"/>
          <w:spacing w:val="0"/>
        </w:rPr>
        <w:t xml:space="preserve">.cardData</w:t>
      </w:r>
      <w:r>
        <w:rPr>
          <w:rFonts w:ascii="Helvetica" w:hAnsi="Helvetica" w:cs="Helvetica"/>
          <w:sz w:val="24"/>
          <w:sz-cs w:val="24"/>
          <w:spacing w:val="0"/>
        </w:rPr>
        <w:t xml:space="preserve"> HTML payloads.</w:t>
      </w:r>
    </w:p>
    <w:p>
      <w:pPr>
        <w:spacing w:after="280"/>
      </w:pPr>
      <w:r>
        <w:rPr>
          <w:rFonts w:ascii="Helvetica" w:hAnsi="Helvetica" w:cs="Helvetica"/>
          <w:sz w:val="28"/>
          <w:sz-cs w:val="28"/>
          <w:b/>
          <w:spacing w:val="0"/>
          <w:color w:val="535353"/>
        </w:rPr>
        <w:t xml:space="preserve">Board Integration &amp; Data Highlighting</w:t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spacing w:val="0"/>
        </w:rPr>
        <w:t xml:space="preserve">The AI directly manipulates the visual state of the parent Journey grid to spatially educate the user.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Target Tracking</w:t>
      </w:r>
      <w:r>
        <w:rPr>
          <w:rFonts w:ascii="Helvetica" w:hAnsi="Helvetica" w:cs="Helvetica"/>
          <w:sz w:val="24"/>
          <w:sz-cs w:val="24"/>
          <w:spacing w:val="0"/>
        </w:rPr>
        <w:t xml:space="preserve">: When the AI outputs a response tied to a specific phase/step, it determines a </w:t>
      </w:r>
      <w:r>
        <w:rPr>
          <w:rFonts w:ascii="Courier" w:hAnsi="Courier" w:cs="Courier"/>
          <w:sz w:val="26"/>
          <w:sz-cs w:val="26"/>
          <w:spacing w:val="0"/>
        </w:rPr>
        <w:t xml:space="preserve">targetID</w:t>
      </w:r>
      <w:r>
        <w:rPr>
          <w:rFonts w:ascii="Helvetica" w:hAnsi="Helvetica" w:cs="Helvetica"/>
          <w:sz w:val="24"/>
          <w:sz-cs w:val="24"/>
          <w:spacing w:val="0"/>
        </w:rPr>
        <w:t xml:space="preserve">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Dimming Protocol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.board-dimmed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)</w:t>
      </w:r>
      <w:r>
        <w:rPr>
          <w:rFonts w:ascii="Helvetica" w:hAnsi="Helvetica" w:cs="Helvetica"/>
          <w:sz w:val="24"/>
          <w:sz-cs w:val="24"/>
          <w:spacing w:val="0"/>
        </w:rPr>
        <w:t xml:space="preserve">: The root </w:t>
      </w:r>
      <w:r>
        <w:rPr>
          <w:rFonts w:ascii="Courier" w:hAnsi="Courier" w:cs="Courier"/>
          <w:sz w:val="26"/>
          <w:sz-cs w:val="26"/>
          <w:spacing w:val="0"/>
        </w:rPr>
        <w:t xml:space="preserve">.journey-container</w:t>
      </w:r>
      <w:r>
        <w:rPr>
          <w:rFonts w:ascii="Helvetica" w:hAnsi="Helvetica" w:cs="Helvetica"/>
          <w:sz w:val="24"/>
          <w:sz-cs w:val="24"/>
          <w:spacing w:val="0"/>
        </w:rPr>
        <w:t xml:space="preserve"> drops its opacity, scaling slightly, and applying grayscale to force unwanted elements into the background hierarchy.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Spotlight Mode (</w:t>
      </w:r>
      <w:r>
        <w:rPr>
          <w:rFonts w:ascii="Courier" w:hAnsi="Courier" w:cs="Courier"/>
          <w:sz w:val="26"/>
          <w:sz-cs w:val="26"/>
          <w:b/>
          <w:spacing w:val="0"/>
        </w:rPr>
        <w:t xml:space="preserve">.node-active</w:t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)</w:t>
      </w:r>
      <w:r>
        <w:rPr>
          <w:rFonts w:ascii="Helvetica" w:hAnsi="Helvetica" w:cs="Helvetica"/>
          <w:sz w:val="24"/>
          <w:sz-cs w:val="24"/>
          <w:spacing w:val="0"/>
        </w:rPr>
        <w:t xml:space="preserve">: The target nodes corresponding to the AI's explanation are injected with a highly vibrant </w:t>
      </w:r>
      <w:r>
        <w:rPr>
          <w:rFonts w:ascii="Courier" w:hAnsi="Courier" w:cs="Courier"/>
          <w:sz w:val="26"/>
          <w:sz-cs w:val="26"/>
          <w:spacing w:val="0"/>
        </w:rPr>
        <w:t xml:space="preserve">.node-active</w:t>
      </w:r>
      <w:r>
        <w:rPr>
          <w:rFonts w:ascii="Helvetica" w:hAnsi="Helvetica" w:cs="Helvetica"/>
          <w:sz w:val="24"/>
          <w:sz-cs w:val="24"/>
          <w:spacing w:val="0"/>
        </w:rPr>
        <w:t xml:space="preserve"> class, overriding the dimming state. This causes specific phases/swimlane buckets to brilliantly "glow" to map the AI's text directly to the chart.</w:t>
      </w:r>
    </w:p>
    <w:p>
      <w:pPr>
        <w:ind w:left="720" w:first-line="-720"/>
        <w:spacing w:after="160"/>
      </w:pPr>
      <w:r>
        <w:rPr>
          <w:rFonts w:ascii="Helvetica" w:hAnsi="Helvetica" w:cs="Helvetica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4"/>
          <w:sz-cs w:val="24"/>
          <w:b/>
          <w:spacing w:val="0"/>
        </w:rPr>
        <w:t xml:space="preserve">Reset</w:t>
      </w:r>
      <w:r>
        <w:rPr>
          <w:rFonts w:ascii="Helvetica" w:hAnsi="Helvetica" w:cs="Helvetica"/>
          <w:sz w:val="24"/>
          <w:sz-cs w:val="24"/>
          <w:spacing w:val="0"/>
        </w:rPr>
        <w:t xml:space="preserve">: Any new queries, or closing the AI panel immediately nullifies these classes instantly restoring the default state.</w:t>
      </w:r>
    </w:p>
    <w:p>
      <w:pPr/>
      <w:r>
        <w:rPr>
          <w:rFonts w:ascii="Helvetica" w:hAnsi="Helvetica" w:cs="Helvetica"/>
          <w:sz w:val="24"/>
          <w:sz-cs w:val="24"/>
          <w:spacing w:val="0"/>
          <w:color w:val="6D6D6D"/>
        </w:rPr>
        <w:t xml:space="preserve"/>
      </w:r>
    </w:p>
    <w:p>
      <w:pPr>
        <w:spacing w:after="240"/>
      </w:pPr>
      <w:r>
        <w:rPr>
          <w:rFonts w:ascii="Helvetica" w:hAnsi="Helvetica" w:cs="Helvetica"/>
          <w:sz w:val="24"/>
          <w:sz-cs w:val="24"/>
          <w:i/>
          <w:spacing w:val="0"/>
        </w:rPr>
        <w:t xml:space="preserve">This architecture allows new journeys, workflows, or architectural diagrams to be rapidly assembled and mapped without needing to rebuild intricate connection lines, tooltips, intro sequences, or contextual AI mappings.</w:t>
      </w:r>
      <w:r>
        <w:rPr>
          <w:rFonts w:ascii="Helvetica" w:hAnsi="Helvetica" w:cs="Helvetica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