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u w:val="single"/>
        </w:rPr>
      </w:pPr>
      <w:bookmarkStart w:colFirst="0" w:colLast="0" w:name="_cu07pmxajpd1" w:id="0"/>
      <w:bookmarkEnd w:id="0"/>
      <w:r w:rsidDel="00000000" w:rsidR="00000000" w:rsidRPr="00000000">
        <w:rPr>
          <w:u w:val="single"/>
          <w:rtl w:val="0"/>
        </w:rPr>
        <w:t xml:space="preserve">Análise das Causas Raízes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270463</wp:posOffset>
            </wp:positionV>
            <wp:extent cx="7148513" cy="24574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Rascunho de forma interativa os três pilares que para nós foi a causa raiz, e os três pilares estão focados na falta de comunicação.</w:t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e6bwwqjpx60z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