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 일시: 2025-08-06 09:20)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1. 주요 금리 현황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산금채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1.94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▲0.41%p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산금채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정기예금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1.93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▲0.37%p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예금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정기적금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1.82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▲0.26%p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적금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일반신용대출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4.39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▼0.13%p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일반신용대출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주택담보대출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3.47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▲0.26%p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주택담보대출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